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D9676">
      <w:pPr>
        <w:spacing w:line="600" w:lineRule="exact"/>
        <w:jc w:val="center"/>
        <w:rPr>
          <w:rFonts w:ascii="宋体" w:hAnsi="宋体" w:cs="宋体"/>
          <w:b/>
          <w:bCs/>
          <w:sz w:val="44"/>
          <w:szCs w:val="36"/>
        </w:rPr>
      </w:pPr>
      <w:r>
        <w:rPr>
          <w:rFonts w:hint="eastAsia" w:ascii="宋体" w:hAnsi="宋体" w:cs="宋体"/>
          <w:b/>
          <w:bCs/>
          <w:sz w:val="44"/>
          <w:szCs w:val="36"/>
        </w:rPr>
        <w:t>景德镇市建设工程招标投标办公室</w:t>
      </w:r>
    </w:p>
    <w:p w14:paraId="6D7F453D">
      <w:pPr>
        <w:spacing w:line="600" w:lineRule="exact"/>
        <w:jc w:val="center"/>
        <w:rPr>
          <w:rFonts w:ascii="宋体" w:hAnsi="宋体" w:cs="宋体"/>
          <w:b/>
          <w:bCs/>
          <w:sz w:val="44"/>
          <w:szCs w:val="36"/>
        </w:rPr>
      </w:pPr>
      <w:r>
        <w:rPr>
          <w:rFonts w:hint="eastAsia" w:ascii="宋体" w:hAnsi="宋体" w:cs="宋体"/>
          <w:b/>
          <w:bCs/>
          <w:sz w:val="44"/>
          <w:szCs w:val="36"/>
        </w:rPr>
        <w:t>2020年度部门决算</w:t>
      </w:r>
    </w:p>
    <w:p w14:paraId="6AE17F42">
      <w:pPr>
        <w:spacing w:line="600" w:lineRule="exact"/>
        <w:jc w:val="center"/>
        <w:rPr>
          <w:rFonts w:ascii="宋体" w:hAnsi="宋体" w:cs="宋体"/>
          <w:b/>
          <w:bCs/>
          <w:sz w:val="40"/>
          <w:szCs w:val="36"/>
        </w:rPr>
      </w:pPr>
      <w:r>
        <w:rPr>
          <w:rFonts w:hint="eastAsia" w:ascii="宋体" w:hAnsi="宋体" w:cs="宋体"/>
          <w:b/>
          <w:bCs/>
          <w:sz w:val="40"/>
          <w:szCs w:val="36"/>
        </w:rPr>
        <w:t>目    录</w:t>
      </w:r>
    </w:p>
    <w:p w14:paraId="071C783F">
      <w:pPr>
        <w:widowControl/>
        <w:spacing w:line="600" w:lineRule="exact"/>
        <w:ind w:firstLine="640"/>
        <w:jc w:val="left"/>
        <w:rPr>
          <w:rFonts w:ascii="仿宋_GB2312" w:hAnsi="Calibri" w:eastAsia="仿宋_GB2312"/>
          <w:sz w:val="32"/>
          <w:szCs w:val="30"/>
        </w:rPr>
      </w:pPr>
    </w:p>
    <w:p w14:paraId="62875DA0">
      <w:pPr>
        <w:widowControl/>
        <w:spacing w:line="600" w:lineRule="exact"/>
        <w:ind w:firstLine="640"/>
        <w:jc w:val="left"/>
        <w:rPr>
          <w:rFonts w:ascii="黑体" w:hAnsi="黑体" w:eastAsia="黑体"/>
          <w:b/>
          <w:sz w:val="32"/>
          <w:szCs w:val="32"/>
        </w:rPr>
      </w:pPr>
      <w:r>
        <w:rPr>
          <w:rFonts w:hint="eastAsia" w:ascii="黑体" w:hAnsi="黑体" w:eastAsia="黑体"/>
          <w:sz w:val="32"/>
          <w:szCs w:val="32"/>
        </w:rPr>
        <w:t>第一部分景德镇市建设工程招标投标办公室概况</w:t>
      </w:r>
    </w:p>
    <w:p w14:paraId="6741C08D">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一、部门主要职责</w:t>
      </w:r>
    </w:p>
    <w:p w14:paraId="53CDBFBD">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二、部门基本情况</w:t>
      </w:r>
    </w:p>
    <w:p w14:paraId="4B5DC922">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景德镇市建设工程招标投标办公室2020年度部门决算表</w:t>
      </w:r>
    </w:p>
    <w:p w14:paraId="2EC0FAF6">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14:paraId="2DBB7207">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14:paraId="2D746A76">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14:paraId="52892A11">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14:paraId="37B2AD44">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14:paraId="5E69AC55">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14:paraId="5CE6C3D4">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14:paraId="6AC83387">
      <w:pPr>
        <w:widowControl/>
        <w:numPr>
          <w:ilvl w:val="0"/>
          <w:numId w:val="1"/>
        </w:numPr>
        <w:spacing w:line="600" w:lineRule="exact"/>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14:paraId="7F5415CA">
      <w:pPr>
        <w:widowControl/>
        <w:numPr>
          <w:ilvl w:val="0"/>
          <w:numId w:val="1"/>
        </w:numPr>
        <w:spacing w:line="600" w:lineRule="exact"/>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14:paraId="34C5C38F">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14:paraId="665E3108">
      <w:pPr>
        <w:widowControl/>
        <w:spacing w:line="600" w:lineRule="exact"/>
        <w:jc w:val="left"/>
        <w:rPr>
          <w:rFonts w:ascii="黑体" w:hAnsi="黑体" w:eastAsia="黑体"/>
          <w:sz w:val="32"/>
          <w:szCs w:val="32"/>
        </w:rPr>
      </w:pPr>
      <w:r>
        <w:rPr>
          <w:rFonts w:hint="eastAsia" w:ascii="黑体" w:hAnsi="黑体" w:eastAsia="黑体"/>
          <w:sz w:val="32"/>
          <w:szCs w:val="32"/>
        </w:rPr>
        <w:t>第三部分  景德镇市建设工程招标投标办公室2020年度部门决算情况说明</w:t>
      </w:r>
    </w:p>
    <w:p w14:paraId="6256E76E">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14:paraId="5E747F67">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14:paraId="5CCF691A">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14:paraId="2F523AA1">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14:paraId="0F10ED17">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14:paraId="6665F38D">
      <w:pPr>
        <w:widowControl/>
        <w:spacing w:line="600" w:lineRule="exact"/>
        <w:ind w:firstLine="1280" w:firstLineChars="40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14:paraId="273FBE79">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14:paraId="2982F8A5">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14:paraId="557DC109">
      <w:pPr>
        <w:widowControl/>
        <w:spacing w:line="600" w:lineRule="exact"/>
        <w:ind w:firstLine="640"/>
        <w:jc w:val="left"/>
        <w:rPr>
          <w:rFonts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14:paraId="6F6B28BC">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56DD7791"/>
    <w:p w14:paraId="7C6F7C4E"/>
    <w:p w14:paraId="650D9500"/>
    <w:p w14:paraId="301E5068"/>
    <w:p w14:paraId="3E0A06FE"/>
    <w:p w14:paraId="780C0EC3"/>
    <w:p w14:paraId="4EE7CC10"/>
    <w:p w14:paraId="4BF1B958"/>
    <w:p w14:paraId="0873B3E4"/>
    <w:p w14:paraId="0FFF29B3"/>
    <w:p w14:paraId="6150A040">
      <w:pPr>
        <w:widowControl/>
        <w:spacing w:line="580" w:lineRule="exact"/>
        <w:jc w:val="center"/>
        <w:rPr>
          <w:rFonts w:ascii="宋体" w:hAnsi="宋体"/>
          <w:b/>
          <w:sz w:val="32"/>
          <w:szCs w:val="30"/>
        </w:rPr>
      </w:pPr>
    </w:p>
    <w:p w14:paraId="2CDF237D">
      <w:pPr>
        <w:widowControl/>
        <w:spacing w:line="580" w:lineRule="exact"/>
        <w:jc w:val="center"/>
        <w:rPr>
          <w:rFonts w:ascii="宋体" w:hAnsi="宋体"/>
          <w:b/>
          <w:sz w:val="32"/>
          <w:szCs w:val="30"/>
        </w:rPr>
      </w:pPr>
    </w:p>
    <w:p w14:paraId="6F6180B5">
      <w:pPr>
        <w:widowControl/>
        <w:spacing w:line="580" w:lineRule="exact"/>
        <w:jc w:val="center"/>
        <w:rPr>
          <w:rFonts w:ascii="宋体" w:hAnsi="宋体"/>
          <w:b/>
          <w:sz w:val="32"/>
          <w:szCs w:val="30"/>
        </w:rPr>
      </w:pPr>
    </w:p>
    <w:p w14:paraId="291514E6">
      <w:pPr>
        <w:widowControl/>
        <w:spacing w:line="580" w:lineRule="exact"/>
        <w:jc w:val="center"/>
        <w:rPr>
          <w:rFonts w:ascii="宋体" w:hAnsi="宋体"/>
          <w:b/>
          <w:sz w:val="32"/>
          <w:szCs w:val="30"/>
        </w:rPr>
      </w:pPr>
    </w:p>
    <w:p w14:paraId="48D1B680">
      <w:pPr>
        <w:widowControl/>
        <w:spacing w:line="580" w:lineRule="exact"/>
        <w:jc w:val="center"/>
        <w:rPr>
          <w:rFonts w:ascii="宋体" w:hAnsi="宋体"/>
          <w:b/>
          <w:sz w:val="32"/>
          <w:szCs w:val="30"/>
        </w:rPr>
      </w:pPr>
    </w:p>
    <w:p w14:paraId="3C93AF14">
      <w:pPr>
        <w:widowControl/>
        <w:spacing w:line="580" w:lineRule="exact"/>
        <w:jc w:val="center"/>
        <w:rPr>
          <w:rFonts w:ascii="宋体" w:hAnsi="宋体"/>
          <w:b/>
          <w:sz w:val="32"/>
          <w:szCs w:val="30"/>
        </w:rPr>
      </w:pPr>
    </w:p>
    <w:p w14:paraId="2278DDCE">
      <w:pPr>
        <w:widowControl/>
        <w:spacing w:line="580" w:lineRule="exact"/>
        <w:jc w:val="center"/>
        <w:rPr>
          <w:rFonts w:ascii="宋体" w:hAnsi="宋体"/>
          <w:b/>
          <w:sz w:val="32"/>
          <w:szCs w:val="30"/>
        </w:rPr>
      </w:pPr>
    </w:p>
    <w:p w14:paraId="13667A68">
      <w:pPr>
        <w:widowControl/>
        <w:spacing w:line="580" w:lineRule="exact"/>
        <w:rPr>
          <w:rFonts w:ascii="宋体" w:hAnsi="宋体"/>
          <w:b/>
          <w:sz w:val="32"/>
          <w:szCs w:val="30"/>
        </w:rPr>
      </w:pPr>
    </w:p>
    <w:p w14:paraId="1410D7C5">
      <w:pPr>
        <w:widowControl/>
        <w:spacing w:line="580" w:lineRule="exact"/>
        <w:jc w:val="center"/>
        <w:rPr>
          <w:rFonts w:ascii="宋体" w:hAnsi="宋体"/>
          <w:b/>
          <w:sz w:val="32"/>
          <w:szCs w:val="30"/>
        </w:rPr>
      </w:pPr>
      <w:r>
        <w:rPr>
          <w:rFonts w:hint="eastAsia" w:ascii="宋体" w:hAnsi="宋体"/>
          <w:b/>
          <w:sz w:val="32"/>
          <w:szCs w:val="30"/>
        </w:rPr>
        <w:t>第一部分  景德镇市建设工程招标投标办公室概况</w:t>
      </w:r>
    </w:p>
    <w:p w14:paraId="4F43B7FB">
      <w:pPr>
        <w:widowControl/>
        <w:spacing w:line="580" w:lineRule="exact"/>
        <w:jc w:val="center"/>
        <w:rPr>
          <w:rFonts w:ascii="宋体" w:hAnsi="宋体"/>
          <w:b/>
          <w:sz w:val="32"/>
          <w:szCs w:val="30"/>
        </w:rPr>
      </w:pPr>
    </w:p>
    <w:p w14:paraId="1D30E246">
      <w:pPr>
        <w:ind w:firstLine="640" w:firstLineChars="200"/>
        <w:rPr>
          <w:rFonts w:eastAsia="黑体"/>
          <w:sz w:val="32"/>
          <w:szCs w:val="32"/>
        </w:rPr>
      </w:pPr>
      <w:r>
        <w:rPr>
          <w:rFonts w:eastAsia="黑体"/>
          <w:sz w:val="32"/>
          <w:szCs w:val="32"/>
        </w:rPr>
        <w:t>一、主要职责</w:t>
      </w:r>
    </w:p>
    <w:p w14:paraId="56F17C05">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景德镇市建设工程招标投标办公室成立于1999年8月,为于景德镇市住房和城乡建设局</w:t>
      </w:r>
      <w:bookmarkStart w:id="0" w:name="_GoBack"/>
      <w:bookmarkEnd w:id="0"/>
      <w:r>
        <w:rPr>
          <w:rFonts w:hint="eastAsia" w:ascii="仿宋_GB2312" w:hAnsi="仿宋_GB2312" w:eastAsia="仿宋_GB2312" w:cs="仿宋_GB2312"/>
          <w:sz w:val="32"/>
          <w:szCs w:val="32"/>
        </w:rPr>
        <w:t>直属参照公务员管理事业单位。其主要职责是：</w:t>
      </w:r>
    </w:p>
    <w:p w14:paraId="1340DD8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（一）贯彻执行国家和省有关工程建设项目招标投标的法律、法规和规章，协助市住房和城乡建设主管部门制定有关工程招标投标的规范性文件；</w:t>
      </w:r>
    </w:p>
    <w:p w14:paraId="134A7E33">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（二）依法对工程招标投标活动进行行政监督和管理，负责受理工程招标备案；</w:t>
      </w:r>
    </w:p>
    <w:p w14:paraId="51D0307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（三）依法查处违法、违规行为和监督执法，受理工程招标投标问题的投诉；</w:t>
      </w:r>
    </w:p>
    <w:p w14:paraId="2E9C3557">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（四）对招标代理活动进行监督管理，维护正常的招标代理市场秩序；</w:t>
      </w:r>
    </w:p>
    <w:p w14:paraId="2ED93B02">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（五）负责省综合评标专家库房屋建筑和市政基础设施工程分库景德镇分库专家的初审和管理工作；</w:t>
      </w:r>
    </w:p>
    <w:p w14:paraId="5B32CD3E">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（六）运行使用省房屋建筑和市政基础设施工程招标投标应用数据库景德镇分库；</w:t>
      </w:r>
    </w:p>
    <w:p w14:paraId="16D26BC8">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（七）市住房和城乡建设主管部门委托办理的其他工作。</w:t>
      </w:r>
    </w:p>
    <w:p w14:paraId="3C6BA021">
      <w:pPr>
        <w:ind w:firstLine="640" w:firstLineChars="200"/>
        <w:rPr>
          <w:rFonts w:eastAsia="黑体"/>
          <w:sz w:val="32"/>
          <w:szCs w:val="32"/>
        </w:rPr>
      </w:pPr>
      <w:r>
        <w:rPr>
          <w:rFonts w:hint="eastAsia" w:eastAsia="黑体"/>
          <w:sz w:val="32"/>
          <w:szCs w:val="32"/>
        </w:rPr>
        <w:t>二、基本情况</w:t>
      </w:r>
    </w:p>
    <w:p w14:paraId="30A6DA1D">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景德镇市建设工程招标投标办公室是我市建设工程招投标管理监督机构，单位性质为参照公务员管理事业单位，单位参照公务员管理事业编制人数为5人，截止2020年12月31日在职人数5人。</w:t>
      </w:r>
    </w:p>
    <w:p w14:paraId="6323D8D8">
      <w:pPr>
        <w:widowControl/>
        <w:spacing w:line="600" w:lineRule="exact"/>
        <w:ind w:firstLine="640"/>
        <w:jc w:val="left"/>
        <w:rPr>
          <w:rFonts w:ascii="黑体" w:hAnsi="黑体" w:eastAsia="黑体"/>
          <w:sz w:val="32"/>
          <w:szCs w:val="32"/>
        </w:rPr>
      </w:pPr>
    </w:p>
    <w:p w14:paraId="3EF3E918">
      <w:pPr>
        <w:widowControl/>
        <w:numPr>
          <w:ilvl w:val="0"/>
          <w:numId w:val="2"/>
        </w:numPr>
        <w:spacing w:line="600" w:lineRule="exact"/>
        <w:ind w:firstLine="640"/>
        <w:jc w:val="left"/>
        <w:rPr>
          <w:rFonts w:ascii="黑体" w:hAnsi="黑体" w:eastAsia="黑体"/>
          <w:sz w:val="32"/>
          <w:szCs w:val="32"/>
        </w:rPr>
      </w:pPr>
      <w:r>
        <w:rPr>
          <w:rFonts w:hint="eastAsia" w:ascii="黑体" w:hAnsi="黑体" w:eastAsia="黑体"/>
          <w:sz w:val="32"/>
          <w:szCs w:val="32"/>
        </w:rPr>
        <w:t xml:space="preserve"> 景德镇市建设工程招标投标办公室2020年度部门决算表</w:t>
      </w:r>
    </w:p>
    <w:p w14:paraId="58AFDC6A">
      <w:pPr>
        <w:widowControl/>
        <w:spacing w:line="600" w:lineRule="exact"/>
        <w:jc w:val="left"/>
        <w:rPr>
          <w:rFonts w:ascii="黑体" w:hAnsi="黑体" w:eastAsia="黑体"/>
          <w:sz w:val="32"/>
          <w:szCs w:val="32"/>
        </w:rPr>
      </w:pPr>
    </w:p>
    <w:p w14:paraId="71645C6B">
      <w:pPr>
        <w:widowControl/>
        <w:spacing w:line="600" w:lineRule="exact"/>
        <w:jc w:val="left"/>
        <w:rPr>
          <w:rFonts w:ascii="黑体" w:hAnsi="黑体" w:eastAsia="黑体"/>
          <w:sz w:val="32"/>
          <w:szCs w:val="32"/>
        </w:rPr>
      </w:pPr>
      <w:r>
        <w:drawing>
          <wp:inline distT="0" distB="0" distL="114300" distR="114300">
            <wp:extent cx="5271770" cy="389890"/>
            <wp:effectExtent l="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4"/>
                    <a:stretch>
                      <a:fillRect/>
                    </a:stretch>
                  </pic:blipFill>
                  <pic:spPr>
                    <a:xfrm>
                      <a:off x="0" y="0"/>
                      <a:ext cx="5271770" cy="389890"/>
                    </a:xfrm>
                    <a:prstGeom prst="rect">
                      <a:avLst/>
                    </a:prstGeom>
                    <a:noFill/>
                    <a:ln>
                      <a:noFill/>
                    </a:ln>
                  </pic:spPr>
                </pic:pic>
              </a:graphicData>
            </a:graphic>
          </wp:inline>
        </w:drawing>
      </w:r>
    </w:p>
    <w:p w14:paraId="274317DB">
      <w:r>
        <w:drawing>
          <wp:inline distT="0" distB="0" distL="114300" distR="114300">
            <wp:extent cx="5850890" cy="5107940"/>
            <wp:effectExtent l="0" t="0" r="16510" b="165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5"/>
                    <a:stretch>
                      <a:fillRect/>
                    </a:stretch>
                  </pic:blipFill>
                  <pic:spPr>
                    <a:xfrm>
                      <a:off x="0" y="0"/>
                      <a:ext cx="5850890" cy="5107940"/>
                    </a:xfrm>
                    <a:prstGeom prst="rect">
                      <a:avLst/>
                    </a:prstGeom>
                    <a:noFill/>
                    <a:ln>
                      <a:noFill/>
                    </a:ln>
                  </pic:spPr>
                </pic:pic>
              </a:graphicData>
            </a:graphic>
          </wp:inline>
        </w:drawing>
      </w:r>
    </w:p>
    <w:p w14:paraId="4AB09BF4"/>
    <w:p w14:paraId="6623A08E">
      <w:r>
        <w:drawing>
          <wp:inline distT="0" distB="0" distL="114300" distR="114300">
            <wp:extent cx="5930900" cy="2540635"/>
            <wp:effectExtent l="0" t="0" r="12700" b="12065"/>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6"/>
                    <a:stretch>
                      <a:fillRect/>
                    </a:stretch>
                  </pic:blipFill>
                  <pic:spPr>
                    <a:xfrm>
                      <a:off x="0" y="0"/>
                      <a:ext cx="5930900" cy="2540635"/>
                    </a:xfrm>
                    <a:prstGeom prst="rect">
                      <a:avLst/>
                    </a:prstGeom>
                    <a:noFill/>
                    <a:ln>
                      <a:noFill/>
                    </a:ln>
                  </pic:spPr>
                </pic:pic>
              </a:graphicData>
            </a:graphic>
          </wp:inline>
        </w:drawing>
      </w:r>
    </w:p>
    <w:p w14:paraId="0D07F90B"/>
    <w:p w14:paraId="1E51022C"/>
    <w:p w14:paraId="5E2CF244"/>
    <w:p w14:paraId="794C8540"/>
    <w:p w14:paraId="3FEFF2B1"/>
    <w:p w14:paraId="370CC2A7"/>
    <w:p w14:paraId="4CBD70E9"/>
    <w:p w14:paraId="0794F89B"/>
    <w:p w14:paraId="3CF045BD">
      <w:r>
        <w:drawing>
          <wp:inline distT="0" distB="0" distL="114300" distR="114300">
            <wp:extent cx="5830570" cy="2675255"/>
            <wp:effectExtent l="0" t="0" r="17780" b="10795"/>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7"/>
                    <a:stretch>
                      <a:fillRect/>
                    </a:stretch>
                  </pic:blipFill>
                  <pic:spPr>
                    <a:xfrm>
                      <a:off x="0" y="0"/>
                      <a:ext cx="5830570" cy="2675255"/>
                    </a:xfrm>
                    <a:prstGeom prst="rect">
                      <a:avLst/>
                    </a:prstGeom>
                    <a:noFill/>
                    <a:ln>
                      <a:noFill/>
                    </a:ln>
                  </pic:spPr>
                </pic:pic>
              </a:graphicData>
            </a:graphic>
          </wp:inline>
        </w:drawing>
      </w:r>
    </w:p>
    <w:p w14:paraId="5A1778C3"/>
    <w:p w14:paraId="0E488CB2"/>
    <w:p w14:paraId="304AE728">
      <w:r>
        <w:drawing>
          <wp:inline distT="0" distB="0" distL="114300" distR="114300">
            <wp:extent cx="5739130" cy="3747770"/>
            <wp:effectExtent l="0" t="0" r="13970" b="508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8"/>
                    <a:stretch>
                      <a:fillRect/>
                    </a:stretch>
                  </pic:blipFill>
                  <pic:spPr>
                    <a:xfrm>
                      <a:off x="0" y="0"/>
                      <a:ext cx="5739130" cy="3747770"/>
                    </a:xfrm>
                    <a:prstGeom prst="rect">
                      <a:avLst/>
                    </a:prstGeom>
                    <a:noFill/>
                    <a:ln>
                      <a:noFill/>
                    </a:ln>
                  </pic:spPr>
                </pic:pic>
              </a:graphicData>
            </a:graphic>
          </wp:inline>
        </w:drawing>
      </w:r>
    </w:p>
    <w:p w14:paraId="73F91AB7"/>
    <w:p w14:paraId="6CA24716"/>
    <w:p w14:paraId="0D845D28"/>
    <w:p w14:paraId="23B4889E"/>
    <w:p w14:paraId="6BD62F32"/>
    <w:p w14:paraId="0AC9F342"/>
    <w:p w14:paraId="6F2A6F9B"/>
    <w:p w14:paraId="4379C4DF">
      <w:r>
        <w:drawing>
          <wp:inline distT="0" distB="0" distL="114300" distR="114300">
            <wp:extent cx="5715000" cy="3542030"/>
            <wp:effectExtent l="0" t="0" r="0" b="127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9"/>
                    <a:stretch>
                      <a:fillRect/>
                    </a:stretch>
                  </pic:blipFill>
                  <pic:spPr>
                    <a:xfrm>
                      <a:off x="0" y="0"/>
                      <a:ext cx="5715000" cy="3542030"/>
                    </a:xfrm>
                    <a:prstGeom prst="rect">
                      <a:avLst/>
                    </a:prstGeom>
                    <a:noFill/>
                    <a:ln>
                      <a:noFill/>
                    </a:ln>
                  </pic:spPr>
                </pic:pic>
              </a:graphicData>
            </a:graphic>
          </wp:inline>
        </w:drawing>
      </w:r>
    </w:p>
    <w:p w14:paraId="122FBFCD"/>
    <w:p w14:paraId="584B80B5">
      <w:r>
        <w:drawing>
          <wp:inline distT="0" distB="0" distL="114300" distR="114300">
            <wp:extent cx="5554345" cy="7840980"/>
            <wp:effectExtent l="0" t="0" r="8255" b="762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10"/>
                    <a:stretch>
                      <a:fillRect/>
                    </a:stretch>
                  </pic:blipFill>
                  <pic:spPr>
                    <a:xfrm>
                      <a:off x="0" y="0"/>
                      <a:ext cx="5554345" cy="7840980"/>
                    </a:xfrm>
                    <a:prstGeom prst="rect">
                      <a:avLst/>
                    </a:prstGeom>
                    <a:noFill/>
                    <a:ln>
                      <a:noFill/>
                    </a:ln>
                  </pic:spPr>
                </pic:pic>
              </a:graphicData>
            </a:graphic>
          </wp:inline>
        </w:drawing>
      </w:r>
    </w:p>
    <w:p w14:paraId="325C2006"/>
    <w:p w14:paraId="39ACA6C6"/>
    <w:p w14:paraId="560A57B7"/>
    <w:p w14:paraId="77327F52">
      <w:r>
        <w:drawing>
          <wp:inline distT="0" distB="0" distL="114300" distR="114300">
            <wp:extent cx="5719445" cy="4835525"/>
            <wp:effectExtent l="0" t="0" r="14605" b="317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1"/>
                    <a:stretch>
                      <a:fillRect/>
                    </a:stretch>
                  </pic:blipFill>
                  <pic:spPr>
                    <a:xfrm>
                      <a:off x="0" y="0"/>
                      <a:ext cx="5719445" cy="4835525"/>
                    </a:xfrm>
                    <a:prstGeom prst="rect">
                      <a:avLst/>
                    </a:prstGeom>
                    <a:noFill/>
                    <a:ln>
                      <a:noFill/>
                    </a:ln>
                  </pic:spPr>
                </pic:pic>
              </a:graphicData>
            </a:graphic>
          </wp:inline>
        </w:drawing>
      </w:r>
    </w:p>
    <w:p w14:paraId="281AA362"/>
    <w:p w14:paraId="6CCB847C"/>
    <w:p w14:paraId="7460FFD1"/>
    <w:p w14:paraId="6D34D439"/>
    <w:p w14:paraId="3E9A3C1A"/>
    <w:p w14:paraId="379DD466">
      <w:r>
        <w:drawing>
          <wp:inline distT="0" distB="0" distL="114300" distR="114300">
            <wp:extent cx="5989955" cy="2334895"/>
            <wp:effectExtent l="0" t="0" r="10795" b="8255"/>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12"/>
                    <a:stretch>
                      <a:fillRect/>
                    </a:stretch>
                  </pic:blipFill>
                  <pic:spPr>
                    <a:xfrm>
                      <a:off x="0" y="0"/>
                      <a:ext cx="5989955" cy="2334895"/>
                    </a:xfrm>
                    <a:prstGeom prst="rect">
                      <a:avLst/>
                    </a:prstGeom>
                    <a:noFill/>
                    <a:ln>
                      <a:noFill/>
                    </a:ln>
                  </pic:spPr>
                </pic:pic>
              </a:graphicData>
            </a:graphic>
          </wp:inline>
        </w:drawing>
      </w:r>
    </w:p>
    <w:p w14:paraId="1487018B"/>
    <w:p w14:paraId="1C5A6E80"/>
    <w:p w14:paraId="59D38C10"/>
    <w:p w14:paraId="7593ADC2"/>
    <w:p w14:paraId="0FA14E64">
      <w:pPr>
        <w:rPr>
          <w:rFonts w:hint="eastAsia"/>
        </w:rPr>
      </w:pPr>
      <w:r>
        <w:drawing>
          <wp:inline distT="0" distB="0" distL="0" distR="0">
            <wp:extent cx="5267325" cy="2038350"/>
            <wp:effectExtent l="19050" t="0" r="9525" b="0"/>
            <wp:docPr id="5" name="图片 4" descr="C:\Users\ADMINI~1\AppData\Local\Temp\WeChat Files\c1ef79e205f116a5c17f554f9c86a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1\AppData\Local\Temp\WeChat Files\c1ef79e205f116a5c17f554f9c86a81.png"/>
                    <pic:cNvPicPr>
                      <a:picLocks noChangeAspect="1" noChangeArrowheads="1"/>
                    </pic:cNvPicPr>
                  </pic:nvPicPr>
                  <pic:blipFill>
                    <a:blip r:embed="rId13"/>
                    <a:srcRect/>
                    <a:stretch>
                      <a:fillRect/>
                    </a:stretch>
                  </pic:blipFill>
                  <pic:spPr>
                    <a:xfrm>
                      <a:off x="0" y="0"/>
                      <a:ext cx="5267325" cy="2038350"/>
                    </a:xfrm>
                    <a:prstGeom prst="rect">
                      <a:avLst/>
                    </a:prstGeom>
                    <a:noFill/>
                    <a:ln w="9525">
                      <a:noFill/>
                      <a:miter lim="800000"/>
                      <a:headEnd/>
                      <a:tailEnd/>
                    </a:ln>
                  </pic:spPr>
                </pic:pic>
              </a:graphicData>
            </a:graphic>
          </wp:inline>
        </w:drawing>
      </w:r>
    </w:p>
    <w:p w14:paraId="7560C275">
      <w:pPr>
        <w:rPr>
          <w:rFonts w:hint="eastAsia"/>
        </w:rPr>
      </w:pPr>
    </w:p>
    <w:p w14:paraId="51630AB3">
      <w:pPr>
        <w:rPr>
          <w:rFonts w:hint="eastAsia"/>
        </w:rPr>
      </w:pPr>
    </w:p>
    <w:tbl>
      <w:tblPr>
        <w:tblStyle w:val="5"/>
        <w:tblW w:w="8486" w:type="dxa"/>
        <w:tblInd w:w="98" w:type="dxa"/>
        <w:shd w:val="clear" w:color="auto" w:fill="auto"/>
        <w:tblLayout w:type="fixed"/>
        <w:tblCellMar>
          <w:top w:w="0" w:type="dxa"/>
          <w:left w:w="108" w:type="dxa"/>
          <w:bottom w:w="0" w:type="dxa"/>
          <w:right w:w="108" w:type="dxa"/>
        </w:tblCellMar>
      </w:tblPr>
      <w:tblGrid>
        <w:gridCol w:w="5903"/>
        <w:gridCol w:w="1245"/>
        <w:gridCol w:w="1333"/>
      </w:tblGrid>
      <w:tr w14:paraId="073EA172">
        <w:tblPrEx>
          <w:shd w:val="clear" w:color="auto" w:fill="auto"/>
          <w:tblCellMar>
            <w:top w:w="0" w:type="dxa"/>
            <w:left w:w="108" w:type="dxa"/>
            <w:bottom w:w="0" w:type="dxa"/>
            <w:right w:w="108" w:type="dxa"/>
          </w:tblCellMar>
        </w:tblPrEx>
        <w:trPr>
          <w:trHeight w:val="550" w:hRule="atLeast"/>
        </w:trPr>
        <w:tc>
          <w:tcPr>
            <w:tcW w:w="8481" w:type="dxa"/>
            <w:gridSpan w:val="3"/>
            <w:tcBorders>
              <w:top w:val="nil"/>
              <w:left w:val="nil"/>
              <w:bottom w:val="nil"/>
              <w:right w:val="nil"/>
            </w:tcBorders>
            <w:shd w:val="clear" w:color="auto" w:fill="auto"/>
            <w:noWrap/>
            <w:vAlign w:val="bottom"/>
          </w:tcPr>
          <w:p w14:paraId="39CCAC3F">
            <w:pPr>
              <w:jc w:val="center"/>
              <w:rPr>
                <w:rFonts w:hint="default" w:ascii="Arial" w:hAnsi="Arial" w:cs="Arial"/>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国有资产占用情况表</w:t>
            </w:r>
          </w:p>
        </w:tc>
      </w:tr>
      <w:tr w14:paraId="5C4CF9E1">
        <w:tblPrEx>
          <w:shd w:val="clear" w:color="auto" w:fill="auto"/>
          <w:tblCellMar>
            <w:top w:w="0" w:type="dxa"/>
            <w:left w:w="108" w:type="dxa"/>
            <w:bottom w:w="0" w:type="dxa"/>
            <w:right w:w="108" w:type="dxa"/>
          </w:tblCellMar>
        </w:tblPrEx>
        <w:trPr>
          <w:trHeight w:val="260" w:hRule="atLeast"/>
        </w:trPr>
        <w:tc>
          <w:tcPr>
            <w:tcW w:w="5903" w:type="dxa"/>
            <w:tcBorders>
              <w:top w:val="nil"/>
              <w:left w:val="nil"/>
              <w:bottom w:val="nil"/>
              <w:right w:val="nil"/>
            </w:tcBorders>
            <w:shd w:val="clear" w:color="auto" w:fill="auto"/>
            <w:noWrap/>
            <w:vAlign w:val="bottom"/>
          </w:tcPr>
          <w:p w14:paraId="7A73A6A8">
            <w:pPr>
              <w:rPr>
                <w:rFonts w:hint="default" w:ascii="Arial" w:hAnsi="Arial" w:cs="Arial"/>
                <w:i w:val="0"/>
                <w:iCs w:val="0"/>
                <w:color w:val="000000"/>
                <w:sz w:val="20"/>
                <w:szCs w:val="20"/>
                <w:u w:val="none"/>
              </w:rPr>
            </w:pPr>
          </w:p>
        </w:tc>
        <w:tc>
          <w:tcPr>
            <w:tcW w:w="2578" w:type="dxa"/>
            <w:gridSpan w:val="2"/>
            <w:tcBorders>
              <w:top w:val="nil"/>
              <w:left w:val="nil"/>
              <w:bottom w:val="nil"/>
              <w:right w:val="nil"/>
            </w:tcBorders>
            <w:shd w:val="clear" w:color="auto" w:fill="auto"/>
            <w:noWrap/>
            <w:vAlign w:val="bottom"/>
          </w:tcPr>
          <w:p w14:paraId="5948D1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单位：台、量、套</w:t>
            </w:r>
          </w:p>
        </w:tc>
      </w:tr>
      <w:tr w14:paraId="7E8F9A02">
        <w:tblPrEx>
          <w:shd w:val="clear" w:color="auto" w:fill="auto"/>
          <w:tblCellMar>
            <w:top w:w="0" w:type="dxa"/>
            <w:left w:w="108" w:type="dxa"/>
            <w:bottom w:w="0" w:type="dxa"/>
            <w:right w:w="108" w:type="dxa"/>
          </w:tblCellMar>
        </w:tblPrEx>
        <w:trPr>
          <w:trHeight w:val="260" w:hRule="atLeast"/>
        </w:trPr>
        <w:tc>
          <w:tcPr>
            <w:tcW w:w="5903" w:type="dxa"/>
            <w:tcBorders>
              <w:top w:val="nil"/>
              <w:left w:val="nil"/>
              <w:bottom w:val="nil"/>
              <w:right w:val="nil"/>
            </w:tcBorders>
            <w:shd w:val="clear" w:color="auto" w:fill="auto"/>
            <w:noWrap/>
            <w:vAlign w:val="bottom"/>
          </w:tcPr>
          <w:p w14:paraId="2379D6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编制单位：景德镇市建设工程招标投标办公室</w:t>
            </w:r>
          </w:p>
        </w:tc>
        <w:tc>
          <w:tcPr>
            <w:tcW w:w="1245" w:type="dxa"/>
            <w:tcBorders>
              <w:top w:val="nil"/>
              <w:left w:val="nil"/>
              <w:bottom w:val="nil"/>
              <w:right w:val="nil"/>
            </w:tcBorders>
            <w:shd w:val="clear" w:color="auto" w:fill="auto"/>
            <w:noWrap/>
            <w:vAlign w:val="bottom"/>
          </w:tcPr>
          <w:p w14:paraId="06A99DA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w:t>
            </w:r>
          </w:p>
        </w:tc>
        <w:tc>
          <w:tcPr>
            <w:tcW w:w="1333" w:type="dxa"/>
            <w:tcBorders>
              <w:top w:val="nil"/>
              <w:left w:val="nil"/>
              <w:bottom w:val="nil"/>
              <w:right w:val="nil"/>
            </w:tcBorders>
            <w:shd w:val="clear" w:color="auto" w:fill="auto"/>
            <w:noWrap/>
            <w:vAlign w:val="bottom"/>
          </w:tcPr>
          <w:p w14:paraId="13DA771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公开10表</w:t>
            </w:r>
          </w:p>
        </w:tc>
      </w:tr>
      <w:tr w14:paraId="49ED12EE">
        <w:tblPrEx>
          <w:shd w:val="clear" w:color="auto" w:fill="auto"/>
          <w:tblCellMar>
            <w:top w:w="0" w:type="dxa"/>
            <w:left w:w="108" w:type="dxa"/>
            <w:bottom w:w="0" w:type="dxa"/>
            <w:right w:w="108" w:type="dxa"/>
          </w:tblCellMar>
        </w:tblPrEx>
        <w:trPr>
          <w:trHeight w:val="277" w:hRule="atLeast"/>
        </w:trPr>
        <w:tc>
          <w:tcPr>
            <w:tcW w:w="5903" w:type="dxa"/>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F8678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  目</w:t>
            </w:r>
          </w:p>
        </w:tc>
        <w:tc>
          <w:tcPr>
            <w:tcW w:w="1245" w:type="dxa"/>
            <w:tcBorders>
              <w:top w:val="single" w:color="000000" w:sz="4" w:space="0"/>
              <w:left w:val="nil"/>
              <w:bottom w:val="single" w:color="000000" w:sz="4" w:space="0"/>
              <w:right w:val="single" w:color="000000" w:sz="4" w:space="0"/>
            </w:tcBorders>
            <w:shd w:val="clear" w:color="FFFFFF" w:fill="C0C0C0"/>
            <w:noWrap/>
            <w:vAlign w:val="center"/>
          </w:tcPr>
          <w:p w14:paraId="3F1E5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333" w:type="dxa"/>
            <w:tcBorders>
              <w:top w:val="single" w:color="000000" w:sz="4" w:space="0"/>
              <w:left w:val="nil"/>
              <w:bottom w:val="single" w:color="000000" w:sz="4" w:space="0"/>
              <w:right w:val="single" w:color="000000" w:sz="4" w:space="0"/>
            </w:tcBorders>
            <w:shd w:val="clear" w:color="FFFFFF" w:fill="C0C0C0"/>
            <w:noWrap/>
            <w:vAlign w:val="center"/>
          </w:tcPr>
          <w:p w14:paraId="2D696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0DAE527D">
        <w:tblPrEx>
          <w:shd w:val="clear" w:color="auto" w:fill="auto"/>
          <w:tblCellMar>
            <w:top w:w="0" w:type="dxa"/>
            <w:left w:w="108" w:type="dxa"/>
            <w:bottom w:w="0" w:type="dxa"/>
            <w:right w:w="108" w:type="dxa"/>
          </w:tblCellMar>
        </w:tblPrEx>
        <w:trPr>
          <w:trHeight w:val="309"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689308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一、车辆数合计(台、辆)</w:t>
            </w:r>
          </w:p>
        </w:tc>
        <w:tc>
          <w:tcPr>
            <w:tcW w:w="1245" w:type="dxa"/>
            <w:tcBorders>
              <w:top w:val="nil"/>
              <w:left w:val="nil"/>
              <w:bottom w:val="single" w:color="000000" w:sz="4" w:space="0"/>
              <w:right w:val="single" w:color="000000" w:sz="4" w:space="0"/>
            </w:tcBorders>
            <w:shd w:val="clear" w:color="FFFFFF" w:fill="C0C0C0"/>
            <w:noWrap/>
            <w:vAlign w:val="center"/>
          </w:tcPr>
          <w:p w14:paraId="1EB2B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33" w:type="dxa"/>
            <w:tcBorders>
              <w:top w:val="nil"/>
              <w:left w:val="nil"/>
              <w:bottom w:val="single" w:color="000000" w:sz="4" w:space="0"/>
              <w:right w:val="single" w:color="000000" w:sz="4" w:space="0"/>
            </w:tcBorders>
            <w:shd w:val="clear" w:color="auto" w:fill="auto"/>
            <w:noWrap/>
            <w:vAlign w:val="center"/>
          </w:tcPr>
          <w:p w14:paraId="251E09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1D5CE14E">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680632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1.副部（省）级及以上领导用车</w:t>
            </w:r>
          </w:p>
        </w:tc>
        <w:tc>
          <w:tcPr>
            <w:tcW w:w="1245" w:type="dxa"/>
            <w:tcBorders>
              <w:top w:val="nil"/>
              <w:left w:val="nil"/>
              <w:bottom w:val="single" w:color="000000" w:sz="4" w:space="0"/>
              <w:right w:val="single" w:color="000000" w:sz="4" w:space="0"/>
            </w:tcBorders>
            <w:shd w:val="clear" w:color="FFFFFF" w:fill="C0C0C0"/>
            <w:noWrap/>
            <w:vAlign w:val="center"/>
          </w:tcPr>
          <w:p w14:paraId="17E07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33" w:type="dxa"/>
            <w:tcBorders>
              <w:top w:val="nil"/>
              <w:left w:val="nil"/>
              <w:bottom w:val="single" w:color="000000" w:sz="4" w:space="0"/>
              <w:right w:val="single" w:color="000000" w:sz="4" w:space="0"/>
            </w:tcBorders>
            <w:shd w:val="clear" w:color="auto" w:fill="auto"/>
            <w:noWrap/>
            <w:vAlign w:val="center"/>
          </w:tcPr>
          <w:p w14:paraId="5337A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11E8ABAD">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5E9615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2.主要领导干部用车</w:t>
            </w:r>
          </w:p>
        </w:tc>
        <w:tc>
          <w:tcPr>
            <w:tcW w:w="1245" w:type="dxa"/>
            <w:tcBorders>
              <w:top w:val="nil"/>
              <w:left w:val="nil"/>
              <w:bottom w:val="single" w:color="000000" w:sz="4" w:space="0"/>
              <w:right w:val="single" w:color="000000" w:sz="4" w:space="0"/>
            </w:tcBorders>
            <w:shd w:val="clear" w:color="FFFFFF" w:fill="C0C0C0"/>
            <w:noWrap/>
            <w:vAlign w:val="center"/>
          </w:tcPr>
          <w:p w14:paraId="73207F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33" w:type="dxa"/>
            <w:tcBorders>
              <w:top w:val="nil"/>
              <w:left w:val="nil"/>
              <w:bottom w:val="single" w:color="000000" w:sz="4" w:space="0"/>
              <w:right w:val="single" w:color="000000" w:sz="4" w:space="0"/>
            </w:tcBorders>
            <w:shd w:val="clear" w:color="auto" w:fill="auto"/>
            <w:noWrap/>
            <w:vAlign w:val="center"/>
          </w:tcPr>
          <w:p w14:paraId="0F3FD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11A9F458">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1C55CE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3.机要通信用车</w:t>
            </w:r>
          </w:p>
        </w:tc>
        <w:tc>
          <w:tcPr>
            <w:tcW w:w="1245" w:type="dxa"/>
            <w:tcBorders>
              <w:top w:val="nil"/>
              <w:left w:val="nil"/>
              <w:bottom w:val="single" w:color="000000" w:sz="4" w:space="0"/>
              <w:right w:val="single" w:color="000000" w:sz="4" w:space="0"/>
            </w:tcBorders>
            <w:shd w:val="clear" w:color="FFFFFF" w:fill="C0C0C0"/>
            <w:noWrap/>
            <w:vAlign w:val="center"/>
          </w:tcPr>
          <w:p w14:paraId="7E0592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33" w:type="dxa"/>
            <w:tcBorders>
              <w:top w:val="nil"/>
              <w:left w:val="nil"/>
              <w:bottom w:val="single" w:color="000000" w:sz="4" w:space="0"/>
              <w:right w:val="single" w:color="000000" w:sz="4" w:space="0"/>
            </w:tcBorders>
            <w:shd w:val="clear" w:color="auto" w:fill="auto"/>
            <w:noWrap/>
            <w:vAlign w:val="center"/>
          </w:tcPr>
          <w:p w14:paraId="4297FE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609A7234">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710BFA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4.应急保障用车</w:t>
            </w:r>
          </w:p>
        </w:tc>
        <w:tc>
          <w:tcPr>
            <w:tcW w:w="1245" w:type="dxa"/>
            <w:tcBorders>
              <w:top w:val="nil"/>
              <w:left w:val="nil"/>
              <w:bottom w:val="single" w:color="000000" w:sz="4" w:space="0"/>
              <w:right w:val="single" w:color="000000" w:sz="4" w:space="0"/>
            </w:tcBorders>
            <w:shd w:val="clear" w:color="FFFFFF" w:fill="C0C0C0"/>
            <w:noWrap/>
            <w:vAlign w:val="center"/>
          </w:tcPr>
          <w:p w14:paraId="068E48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33" w:type="dxa"/>
            <w:tcBorders>
              <w:top w:val="nil"/>
              <w:left w:val="nil"/>
              <w:bottom w:val="single" w:color="000000" w:sz="4" w:space="0"/>
              <w:right w:val="single" w:color="000000" w:sz="4" w:space="0"/>
            </w:tcBorders>
            <w:shd w:val="clear" w:color="auto" w:fill="auto"/>
            <w:noWrap/>
            <w:vAlign w:val="center"/>
          </w:tcPr>
          <w:p w14:paraId="57A3AB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37FC45B4">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25BE785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5.执法执勤用车</w:t>
            </w:r>
          </w:p>
        </w:tc>
        <w:tc>
          <w:tcPr>
            <w:tcW w:w="1245" w:type="dxa"/>
            <w:tcBorders>
              <w:top w:val="nil"/>
              <w:left w:val="nil"/>
              <w:bottom w:val="single" w:color="000000" w:sz="4" w:space="0"/>
              <w:right w:val="single" w:color="000000" w:sz="4" w:space="0"/>
            </w:tcBorders>
            <w:shd w:val="clear" w:color="FFFFFF" w:fill="C0C0C0"/>
            <w:noWrap/>
            <w:vAlign w:val="center"/>
          </w:tcPr>
          <w:p w14:paraId="0B6F8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33" w:type="dxa"/>
            <w:tcBorders>
              <w:top w:val="nil"/>
              <w:left w:val="nil"/>
              <w:bottom w:val="single" w:color="000000" w:sz="4" w:space="0"/>
              <w:right w:val="single" w:color="000000" w:sz="4" w:space="0"/>
            </w:tcBorders>
            <w:shd w:val="clear" w:color="auto" w:fill="auto"/>
            <w:noWrap/>
            <w:vAlign w:val="center"/>
          </w:tcPr>
          <w:p w14:paraId="793B9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5825B893">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61D7689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6.特种专业技术用车</w:t>
            </w:r>
          </w:p>
        </w:tc>
        <w:tc>
          <w:tcPr>
            <w:tcW w:w="1245" w:type="dxa"/>
            <w:tcBorders>
              <w:top w:val="nil"/>
              <w:left w:val="nil"/>
              <w:bottom w:val="single" w:color="000000" w:sz="4" w:space="0"/>
              <w:right w:val="single" w:color="000000" w:sz="4" w:space="0"/>
            </w:tcBorders>
            <w:shd w:val="clear" w:color="FFFFFF" w:fill="C0C0C0"/>
            <w:noWrap/>
            <w:vAlign w:val="center"/>
          </w:tcPr>
          <w:p w14:paraId="1481D9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33" w:type="dxa"/>
            <w:tcBorders>
              <w:top w:val="nil"/>
              <w:left w:val="nil"/>
              <w:bottom w:val="single" w:color="000000" w:sz="4" w:space="0"/>
              <w:right w:val="single" w:color="000000" w:sz="4" w:space="0"/>
            </w:tcBorders>
            <w:shd w:val="clear" w:color="auto" w:fill="auto"/>
            <w:noWrap/>
            <w:vAlign w:val="center"/>
          </w:tcPr>
          <w:p w14:paraId="6CD4F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r>
      <w:tr w14:paraId="11F1AFFA">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2260E9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7.离退休干部用车</w:t>
            </w:r>
          </w:p>
        </w:tc>
        <w:tc>
          <w:tcPr>
            <w:tcW w:w="1245" w:type="dxa"/>
            <w:tcBorders>
              <w:top w:val="nil"/>
              <w:left w:val="nil"/>
              <w:bottom w:val="single" w:color="000000" w:sz="4" w:space="0"/>
              <w:right w:val="single" w:color="000000" w:sz="4" w:space="0"/>
            </w:tcBorders>
            <w:shd w:val="clear" w:color="FFFFFF" w:fill="C0C0C0"/>
            <w:noWrap/>
            <w:vAlign w:val="center"/>
          </w:tcPr>
          <w:p w14:paraId="464EC5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33" w:type="dxa"/>
            <w:tcBorders>
              <w:top w:val="nil"/>
              <w:left w:val="nil"/>
              <w:bottom w:val="single" w:color="000000" w:sz="4" w:space="0"/>
              <w:right w:val="single" w:color="000000" w:sz="4" w:space="0"/>
            </w:tcBorders>
            <w:shd w:val="clear" w:color="auto" w:fill="auto"/>
            <w:noWrap/>
            <w:vAlign w:val="center"/>
          </w:tcPr>
          <w:p w14:paraId="5D105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4C36A26A">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1EF0CF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8.其他用车</w:t>
            </w:r>
          </w:p>
        </w:tc>
        <w:tc>
          <w:tcPr>
            <w:tcW w:w="1245" w:type="dxa"/>
            <w:tcBorders>
              <w:top w:val="nil"/>
              <w:left w:val="nil"/>
              <w:bottom w:val="single" w:color="000000" w:sz="4" w:space="0"/>
              <w:right w:val="single" w:color="000000" w:sz="4" w:space="0"/>
            </w:tcBorders>
            <w:shd w:val="clear" w:color="FFFFFF" w:fill="C0C0C0"/>
            <w:noWrap/>
            <w:vAlign w:val="center"/>
          </w:tcPr>
          <w:p w14:paraId="42D09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33" w:type="dxa"/>
            <w:tcBorders>
              <w:top w:val="nil"/>
              <w:left w:val="nil"/>
              <w:bottom w:val="single" w:color="000000" w:sz="4" w:space="0"/>
              <w:right w:val="single" w:color="000000" w:sz="4" w:space="0"/>
            </w:tcBorders>
            <w:shd w:val="clear" w:color="auto" w:fill="auto"/>
            <w:noWrap/>
            <w:vAlign w:val="center"/>
          </w:tcPr>
          <w:p w14:paraId="79FA1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0</w:t>
            </w:r>
          </w:p>
        </w:tc>
      </w:tr>
      <w:tr w14:paraId="749E1A22">
        <w:tblPrEx>
          <w:shd w:val="clear" w:color="auto" w:fill="auto"/>
          <w:tblCellMar>
            <w:top w:w="0" w:type="dxa"/>
            <w:left w:w="108" w:type="dxa"/>
            <w:bottom w:w="0" w:type="dxa"/>
            <w:right w:w="108" w:type="dxa"/>
          </w:tblCellMar>
        </w:tblPrEx>
        <w:trPr>
          <w:trHeight w:val="308"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6D18E0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二、单价50万元（含）以上通用设备（台，套）</w:t>
            </w:r>
          </w:p>
        </w:tc>
        <w:tc>
          <w:tcPr>
            <w:tcW w:w="1245" w:type="dxa"/>
            <w:tcBorders>
              <w:top w:val="nil"/>
              <w:left w:val="nil"/>
              <w:bottom w:val="single" w:color="000000" w:sz="4" w:space="0"/>
              <w:right w:val="single" w:color="000000" w:sz="4" w:space="0"/>
            </w:tcBorders>
            <w:shd w:val="clear" w:color="FFFFFF" w:fill="C0C0C0"/>
            <w:noWrap/>
            <w:vAlign w:val="center"/>
          </w:tcPr>
          <w:p w14:paraId="48D101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33" w:type="dxa"/>
            <w:tcBorders>
              <w:top w:val="nil"/>
              <w:left w:val="nil"/>
              <w:bottom w:val="single" w:color="000000" w:sz="4" w:space="0"/>
              <w:right w:val="single" w:color="000000" w:sz="4" w:space="0"/>
            </w:tcBorders>
            <w:shd w:val="clear" w:color="auto" w:fill="auto"/>
            <w:noWrap/>
            <w:vAlign w:val="center"/>
          </w:tcPr>
          <w:p w14:paraId="2EC51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6179B319">
        <w:tblPrEx>
          <w:shd w:val="clear" w:color="auto" w:fill="auto"/>
          <w:tblCellMar>
            <w:top w:w="0" w:type="dxa"/>
            <w:left w:w="108" w:type="dxa"/>
            <w:bottom w:w="0" w:type="dxa"/>
            <w:right w:w="108" w:type="dxa"/>
          </w:tblCellMar>
        </w:tblPrEx>
        <w:trPr>
          <w:trHeight w:val="444" w:hRule="atLeast"/>
        </w:trPr>
        <w:tc>
          <w:tcPr>
            <w:tcW w:w="5903" w:type="dxa"/>
            <w:tcBorders>
              <w:top w:val="nil"/>
              <w:left w:val="single" w:color="000000" w:sz="4" w:space="0"/>
              <w:bottom w:val="single" w:color="000000" w:sz="4" w:space="0"/>
              <w:right w:val="single" w:color="000000" w:sz="4" w:space="0"/>
            </w:tcBorders>
            <w:shd w:val="clear" w:color="FFFFFF" w:fill="C0C0C0"/>
            <w:noWrap/>
            <w:vAlign w:val="center"/>
          </w:tcPr>
          <w:p w14:paraId="5C572E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三、单价100万元（含）以上专用设备（台，套）</w:t>
            </w:r>
          </w:p>
        </w:tc>
        <w:tc>
          <w:tcPr>
            <w:tcW w:w="1245" w:type="dxa"/>
            <w:tcBorders>
              <w:top w:val="nil"/>
              <w:left w:val="nil"/>
              <w:bottom w:val="single" w:color="000000" w:sz="4" w:space="0"/>
              <w:right w:val="single" w:color="000000" w:sz="4" w:space="0"/>
            </w:tcBorders>
            <w:shd w:val="clear" w:color="FFFFFF" w:fill="C0C0C0"/>
            <w:noWrap/>
            <w:vAlign w:val="center"/>
          </w:tcPr>
          <w:p w14:paraId="2E5D52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33" w:type="dxa"/>
            <w:tcBorders>
              <w:top w:val="nil"/>
              <w:left w:val="nil"/>
              <w:bottom w:val="single" w:color="000000" w:sz="4" w:space="0"/>
              <w:right w:val="single" w:color="000000" w:sz="4" w:space="0"/>
            </w:tcBorders>
            <w:shd w:val="clear" w:color="auto" w:fill="auto"/>
            <w:noWrap/>
            <w:vAlign w:val="center"/>
          </w:tcPr>
          <w:p w14:paraId="63A033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r>
      <w:tr w14:paraId="588EA63E">
        <w:tblPrEx>
          <w:shd w:val="clear" w:color="auto" w:fill="auto"/>
          <w:tblCellMar>
            <w:top w:w="0" w:type="dxa"/>
            <w:left w:w="108" w:type="dxa"/>
            <w:bottom w:w="0" w:type="dxa"/>
            <w:right w:w="108" w:type="dxa"/>
          </w:tblCellMar>
        </w:tblPrEx>
        <w:trPr>
          <w:trHeight w:val="262" w:hRule="atLeast"/>
        </w:trPr>
        <w:tc>
          <w:tcPr>
            <w:tcW w:w="8481" w:type="dxa"/>
            <w:gridSpan w:val="3"/>
            <w:tcBorders>
              <w:top w:val="nil"/>
              <w:left w:val="single" w:color="000000" w:sz="4" w:space="0"/>
              <w:bottom w:val="single" w:color="000000" w:sz="4" w:space="0"/>
              <w:right w:val="single" w:color="000000" w:sz="4" w:space="0"/>
            </w:tcBorders>
            <w:shd w:val="clear" w:color="auto" w:fill="auto"/>
            <w:noWrap/>
            <w:vAlign w:val="bottom"/>
          </w:tcPr>
          <w:p w14:paraId="22B9051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5"/>
                <w:szCs w:val="15"/>
                <w:u w:val="none"/>
                <w:lang w:val="en-US" w:eastAsia="zh-CN" w:bidi="ar"/>
              </w:rPr>
              <w:t>注：本表反映截止2020年12月31日，部门占用的国有资产情况。</w:t>
            </w:r>
          </w:p>
        </w:tc>
      </w:tr>
    </w:tbl>
    <w:p w14:paraId="6A52B4FA">
      <w:pPr>
        <w:widowControl/>
        <w:spacing w:line="600" w:lineRule="exact"/>
        <w:jc w:val="center"/>
        <w:rPr>
          <w:rFonts w:hint="eastAsia" w:ascii="黑体" w:hAnsi="黑体" w:eastAsia="黑体"/>
          <w:sz w:val="32"/>
          <w:szCs w:val="32"/>
        </w:rPr>
      </w:pPr>
    </w:p>
    <w:p w14:paraId="096D0957">
      <w:pPr>
        <w:widowControl/>
        <w:spacing w:line="600" w:lineRule="exact"/>
        <w:jc w:val="center"/>
        <w:rPr>
          <w:rFonts w:ascii="黑体" w:hAnsi="黑体" w:eastAsia="黑体"/>
          <w:sz w:val="32"/>
          <w:szCs w:val="32"/>
        </w:rPr>
      </w:pPr>
      <w:r>
        <w:rPr>
          <w:rFonts w:hint="eastAsia" w:ascii="黑体" w:hAnsi="黑体" w:eastAsia="黑体"/>
          <w:sz w:val="32"/>
          <w:szCs w:val="32"/>
        </w:rPr>
        <w:t>第三部分  景德镇市建设工程招标投标办公室2020年度部门决算情况说明</w:t>
      </w:r>
    </w:p>
    <w:p w14:paraId="31A4C949"/>
    <w:p w14:paraId="00ABC9B8">
      <w:pPr>
        <w:widowControl/>
        <w:spacing w:line="600" w:lineRule="exact"/>
        <w:ind w:firstLine="643" w:firstLineChars="20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一、收入决算情况说明</w:t>
      </w:r>
    </w:p>
    <w:p w14:paraId="5F520078">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hint="eastAsia" w:eastAsia="仿宋_GB2312"/>
          <w:sz w:val="32"/>
          <w:szCs w:val="32"/>
        </w:rPr>
        <w:t>单位2020年度收入总计97.45万元，其中年初结转和结余10.99万元，总收入较2019年减少4.85万元，下降4.8%，主要原因是2020年单位落实带头过“紧日子”，严格压减“三公”经费、会议费、差旅费等。</w:t>
      </w:r>
    </w:p>
    <w:p w14:paraId="1E4FC30B">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hint="eastAsia" w:eastAsia="仿宋_GB2312"/>
          <w:sz w:val="32"/>
          <w:szCs w:val="32"/>
        </w:rPr>
        <w:t>单位本年度收入合计86.45万元，较2019年减少15.58万元，下降15.3%，主要原因是单位落实带头过“紧日子”，严格压减“三公”经费、会议费、差旅费等。</w:t>
      </w:r>
    </w:p>
    <w:p w14:paraId="69F6B777">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hint="eastAsia" w:eastAsia="仿宋_GB2312"/>
          <w:sz w:val="32"/>
          <w:szCs w:val="32"/>
        </w:rPr>
        <w:t>本年收入的结构为：财政拨款收入86.45万元，占100%，原因是单位性质为参照公务员管理事业单位，除财政拨款外，无其他收入来源。</w:t>
      </w:r>
    </w:p>
    <w:p w14:paraId="358E1902">
      <w:pPr>
        <w:widowControl/>
        <w:spacing w:line="600" w:lineRule="exact"/>
        <w:ind w:firstLine="643" w:firstLineChars="20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二、支出决算情况说明</w:t>
      </w:r>
    </w:p>
    <w:p w14:paraId="04B6D674">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单位</w:t>
      </w:r>
      <w:r>
        <w:rPr>
          <w:rFonts w:hint="eastAsia" w:eastAsia="仿宋_GB2312"/>
          <w:sz w:val="32"/>
          <w:szCs w:val="32"/>
        </w:rPr>
        <w:t>2</w:t>
      </w:r>
      <w:r>
        <w:rPr>
          <w:rFonts w:eastAsia="仿宋_GB2312"/>
          <w:sz w:val="32"/>
          <w:szCs w:val="32"/>
        </w:rPr>
        <w:t>020年度支出总计</w:t>
      </w:r>
      <w:r>
        <w:rPr>
          <w:rFonts w:hint="eastAsia" w:eastAsia="仿宋_GB2312"/>
          <w:sz w:val="32"/>
          <w:szCs w:val="32"/>
        </w:rPr>
        <w:t>97.45</w:t>
      </w:r>
      <w:r>
        <w:rPr>
          <w:rFonts w:eastAsia="仿宋_GB2312"/>
          <w:sz w:val="32"/>
          <w:szCs w:val="32"/>
        </w:rPr>
        <w:t>万元，其中本年支出合计</w:t>
      </w:r>
      <w:r>
        <w:rPr>
          <w:rFonts w:hint="eastAsia" w:eastAsia="仿宋_GB2312"/>
          <w:sz w:val="32"/>
          <w:szCs w:val="32"/>
        </w:rPr>
        <w:t>94.45</w:t>
      </w:r>
      <w:r>
        <w:rPr>
          <w:rFonts w:eastAsia="仿宋_GB2312"/>
          <w:sz w:val="32"/>
          <w:szCs w:val="32"/>
        </w:rPr>
        <w:t>万元，较2019年</w:t>
      </w:r>
      <w:r>
        <w:rPr>
          <w:rFonts w:hint="eastAsia" w:eastAsia="仿宋_GB2312"/>
          <w:sz w:val="32"/>
          <w:szCs w:val="32"/>
        </w:rPr>
        <w:t>增加3.40</w:t>
      </w:r>
      <w:r>
        <w:rPr>
          <w:rFonts w:eastAsia="仿宋_GB2312"/>
          <w:sz w:val="32"/>
          <w:szCs w:val="32"/>
        </w:rPr>
        <w:t>万元，</w:t>
      </w:r>
      <w:r>
        <w:rPr>
          <w:rFonts w:hint="eastAsia" w:eastAsia="仿宋_GB2312"/>
          <w:sz w:val="32"/>
          <w:szCs w:val="32"/>
        </w:rPr>
        <w:t>增长3.7</w:t>
      </w:r>
      <w:r>
        <w:rPr>
          <w:rFonts w:eastAsia="仿宋_GB2312"/>
          <w:sz w:val="32"/>
          <w:szCs w:val="32"/>
        </w:rPr>
        <w:t>%，主要原因是</w:t>
      </w:r>
      <w:r>
        <w:rPr>
          <w:rFonts w:hint="eastAsia" w:eastAsia="仿宋_GB2312"/>
          <w:sz w:val="32"/>
          <w:szCs w:val="32"/>
        </w:rPr>
        <w:t>2020年实际增加了绩效奖金预算，财政拨款支出增多</w:t>
      </w:r>
      <w:r>
        <w:rPr>
          <w:rFonts w:eastAsia="仿宋_GB2312"/>
          <w:sz w:val="32"/>
          <w:szCs w:val="32"/>
        </w:rPr>
        <w:t>；年末结转和结余</w:t>
      </w:r>
      <w:r>
        <w:rPr>
          <w:rFonts w:hint="eastAsia" w:eastAsia="仿宋_GB2312"/>
          <w:sz w:val="32"/>
          <w:szCs w:val="32"/>
        </w:rPr>
        <w:t>3</w:t>
      </w:r>
      <w:r>
        <w:rPr>
          <w:rFonts w:eastAsia="仿宋_GB2312"/>
          <w:sz w:val="32"/>
          <w:szCs w:val="32"/>
        </w:rPr>
        <w:t>万元，较2019年</w:t>
      </w:r>
      <w:r>
        <w:rPr>
          <w:rFonts w:hint="eastAsia" w:eastAsia="仿宋_GB2312"/>
          <w:sz w:val="32"/>
          <w:szCs w:val="32"/>
        </w:rPr>
        <w:t>减少7.99</w:t>
      </w:r>
      <w:r>
        <w:rPr>
          <w:rFonts w:eastAsia="仿宋_GB2312"/>
          <w:sz w:val="32"/>
          <w:szCs w:val="32"/>
        </w:rPr>
        <w:t>万元，</w:t>
      </w:r>
      <w:r>
        <w:rPr>
          <w:rFonts w:hint="eastAsia" w:eastAsia="仿宋_GB2312"/>
          <w:sz w:val="32"/>
          <w:szCs w:val="32"/>
        </w:rPr>
        <w:t>同比下降72.7</w:t>
      </w:r>
      <w:r>
        <w:rPr>
          <w:rFonts w:eastAsia="仿宋_GB2312"/>
          <w:sz w:val="32"/>
          <w:szCs w:val="32"/>
        </w:rPr>
        <w:t>%，</w:t>
      </w:r>
      <w:r>
        <w:rPr>
          <w:rFonts w:hint="eastAsia" w:eastAsia="仿宋_GB2312"/>
          <w:sz w:val="32"/>
          <w:szCs w:val="32"/>
        </w:rPr>
        <w:t>主要原因是单位进一步深化部门预算和国库集中支付改革，逐步消化结余结转。</w:t>
      </w:r>
    </w:p>
    <w:p w14:paraId="59B1A333">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本年支出的</w:t>
      </w:r>
      <w:r>
        <w:rPr>
          <w:rFonts w:hint="eastAsia" w:eastAsia="仿宋_GB2312"/>
          <w:sz w:val="32"/>
          <w:szCs w:val="32"/>
        </w:rPr>
        <w:t>结构</w:t>
      </w:r>
      <w:r>
        <w:rPr>
          <w:rFonts w:eastAsia="仿宋_GB2312"/>
          <w:sz w:val="32"/>
          <w:szCs w:val="32"/>
        </w:rPr>
        <w:t>为：基本支出94.45万元，占</w:t>
      </w:r>
      <w:r>
        <w:rPr>
          <w:rFonts w:hint="eastAsia" w:eastAsia="仿宋_GB2312"/>
          <w:sz w:val="32"/>
          <w:szCs w:val="32"/>
        </w:rPr>
        <w:t>100</w:t>
      </w:r>
      <w:r>
        <w:rPr>
          <w:rFonts w:eastAsia="仿宋_GB2312"/>
          <w:sz w:val="32"/>
          <w:szCs w:val="32"/>
        </w:rPr>
        <w:t>%</w:t>
      </w:r>
      <w:r>
        <w:rPr>
          <w:rFonts w:hint="eastAsia" w:eastAsia="仿宋_GB2312"/>
          <w:sz w:val="32"/>
          <w:szCs w:val="32"/>
        </w:rPr>
        <w:t>。</w:t>
      </w:r>
    </w:p>
    <w:p w14:paraId="74E93535">
      <w:pPr>
        <w:widowControl/>
        <w:spacing w:line="600" w:lineRule="exact"/>
        <w:ind w:firstLine="643" w:firstLineChars="20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三、财政拨款支出决算情况说明</w:t>
      </w:r>
    </w:p>
    <w:p w14:paraId="4922ADBF">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本单位2020年度财政拨款支出年初预算数为60.38万元，决算数为</w:t>
      </w:r>
      <w:r>
        <w:rPr>
          <w:rFonts w:hint="eastAsia" w:eastAsia="仿宋_GB2312"/>
          <w:sz w:val="32"/>
          <w:szCs w:val="32"/>
        </w:rPr>
        <w:t>93.45</w:t>
      </w:r>
      <w:r>
        <w:rPr>
          <w:rFonts w:eastAsia="仿宋_GB2312"/>
          <w:sz w:val="32"/>
          <w:szCs w:val="32"/>
        </w:rPr>
        <w:t>万元，完成年初预算的</w:t>
      </w:r>
      <w:r>
        <w:rPr>
          <w:rFonts w:hint="eastAsia" w:eastAsia="仿宋_GB2312"/>
          <w:sz w:val="32"/>
          <w:szCs w:val="32"/>
        </w:rPr>
        <w:t>154.8</w:t>
      </w:r>
      <w:r>
        <w:rPr>
          <w:rFonts w:eastAsia="仿宋_GB2312"/>
          <w:sz w:val="32"/>
          <w:szCs w:val="32"/>
        </w:rPr>
        <w:t>%。其中：</w:t>
      </w:r>
    </w:p>
    <w:p w14:paraId="126347B8">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（一）社会保障和就业支出年初预算数为4.87万元，决算数为4.87万元，完成年初预算的</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eastAsia="仿宋_GB2312"/>
          <w:sz w:val="32"/>
          <w:szCs w:val="32"/>
        </w:rPr>
        <w:t>较好的完成了年初预算计划。</w:t>
      </w:r>
    </w:p>
    <w:p w14:paraId="38C3F3D7">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（二）卫生健康支出年初预算数为3.38万元，决算数为3.38万元，完成年初预算的100%</w:t>
      </w:r>
      <w:r>
        <w:rPr>
          <w:rFonts w:hint="eastAsia" w:eastAsia="仿宋_GB2312"/>
          <w:sz w:val="32"/>
          <w:szCs w:val="32"/>
        </w:rPr>
        <w:t>，</w:t>
      </w:r>
      <w:r>
        <w:rPr>
          <w:rFonts w:eastAsia="仿宋_GB2312"/>
          <w:sz w:val="32"/>
          <w:szCs w:val="32"/>
        </w:rPr>
        <w:t>较好的完成了年初预算计划。</w:t>
      </w:r>
    </w:p>
    <w:p w14:paraId="38BD3C52">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（三）城乡社区支出年初预算数为48.63万元，决算数为81.70万元，完成年初预算的</w:t>
      </w:r>
      <w:r>
        <w:rPr>
          <w:rFonts w:hint="eastAsia" w:eastAsia="仿宋_GB2312"/>
          <w:sz w:val="32"/>
          <w:szCs w:val="32"/>
        </w:rPr>
        <w:t>168</w:t>
      </w:r>
      <w:r>
        <w:rPr>
          <w:rFonts w:eastAsia="仿宋_GB2312"/>
          <w:sz w:val="32"/>
          <w:szCs w:val="32"/>
        </w:rPr>
        <w:t>%，主要原因</w:t>
      </w:r>
      <w:r>
        <w:rPr>
          <w:rFonts w:hint="eastAsia" w:eastAsia="仿宋_GB2312"/>
          <w:sz w:val="32"/>
          <w:szCs w:val="32"/>
        </w:rPr>
        <w:t>一</w:t>
      </w:r>
      <w:r>
        <w:rPr>
          <w:rFonts w:eastAsia="仿宋_GB2312"/>
          <w:sz w:val="32"/>
          <w:szCs w:val="32"/>
        </w:rPr>
        <w:t>是</w:t>
      </w:r>
      <w:r>
        <w:rPr>
          <w:rFonts w:hint="eastAsia" w:eastAsia="仿宋_GB2312"/>
          <w:sz w:val="32"/>
          <w:szCs w:val="32"/>
        </w:rPr>
        <w:t>2020年增加了绩效奖金预算，一般公共预算财政拨款增多；二是追加政府性基金“城市基础设施配套费安排的支出”20万元</w:t>
      </w:r>
      <w:r>
        <w:rPr>
          <w:rFonts w:eastAsia="仿宋_GB2312"/>
          <w:sz w:val="32"/>
          <w:szCs w:val="32"/>
        </w:rPr>
        <w:t>。</w:t>
      </w:r>
    </w:p>
    <w:p w14:paraId="061E02E8">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（四）住房保障支出年初预算数为3.50万元，决算数为3.50万元，完成年初预算的100%</w:t>
      </w:r>
      <w:r>
        <w:rPr>
          <w:rFonts w:hint="eastAsia" w:eastAsia="仿宋_GB2312"/>
          <w:sz w:val="32"/>
          <w:szCs w:val="32"/>
        </w:rPr>
        <w:t>，</w:t>
      </w:r>
      <w:r>
        <w:rPr>
          <w:rFonts w:eastAsia="仿宋_GB2312"/>
          <w:sz w:val="32"/>
          <w:szCs w:val="32"/>
        </w:rPr>
        <w:t>较好的完成了年初预算计划。</w:t>
      </w:r>
    </w:p>
    <w:p w14:paraId="45CC5C25">
      <w:pPr>
        <w:widowControl/>
        <w:spacing w:line="600" w:lineRule="exact"/>
        <w:ind w:firstLine="643" w:firstLineChars="20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四、一般公共预算财政拨款基本支出决算情况说明</w:t>
      </w:r>
    </w:p>
    <w:p w14:paraId="707FB837">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单位2020年度一般公共预算财政拨款基本支出</w:t>
      </w:r>
      <w:r>
        <w:rPr>
          <w:rFonts w:hint="eastAsia" w:eastAsia="仿宋_GB2312"/>
          <w:sz w:val="32"/>
          <w:szCs w:val="32"/>
        </w:rPr>
        <w:t>66.45</w:t>
      </w:r>
    </w:p>
    <w:p w14:paraId="707259B3">
      <w:pPr>
        <w:pStyle w:val="7"/>
        <w:widowControl w:val="0"/>
        <w:shd w:val="clear" w:color="auto" w:fill="FFFFFF"/>
        <w:tabs>
          <w:tab w:val="left" w:pos="6546"/>
        </w:tabs>
        <w:adjustRightInd w:val="0"/>
        <w:spacing w:line="640" w:lineRule="exact"/>
        <w:rPr>
          <w:rFonts w:eastAsia="仿宋_GB2312"/>
          <w:sz w:val="32"/>
          <w:szCs w:val="32"/>
        </w:rPr>
      </w:pPr>
      <w:r>
        <w:rPr>
          <w:rFonts w:eastAsia="仿宋_GB2312"/>
          <w:sz w:val="32"/>
          <w:szCs w:val="32"/>
        </w:rPr>
        <w:t>万元，其中：</w:t>
      </w:r>
    </w:p>
    <w:p w14:paraId="24C9809A">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（一）工资福利支出</w:t>
      </w:r>
      <w:r>
        <w:rPr>
          <w:rFonts w:hint="eastAsia" w:eastAsia="仿宋_GB2312"/>
          <w:sz w:val="32"/>
          <w:szCs w:val="32"/>
        </w:rPr>
        <w:t>63.39</w:t>
      </w:r>
      <w:r>
        <w:rPr>
          <w:rFonts w:eastAsia="仿宋_GB2312"/>
          <w:sz w:val="32"/>
          <w:szCs w:val="32"/>
        </w:rPr>
        <w:t>万元，较2019年</w:t>
      </w:r>
      <w:r>
        <w:rPr>
          <w:rFonts w:hint="eastAsia" w:eastAsia="仿宋_GB2312"/>
          <w:sz w:val="32"/>
          <w:szCs w:val="32"/>
        </w:rPr>
        <w:t>增加9.34</w:t>
      </w:r>
      <w:r>
        <w:rPr>
          <w:rFonts w:eastAsia="仿宋_GB2312"/>
          <w:sz w:val="32"/>
          <w:szCs w:val="32"/>
        </w:rPr>
        <w:t>万元，</w:t>
      </w:r>
      <w:r>
        <w:rPr>
          <w:rFonts w:hint="eastAsia" w:eastAsia="仿宋_GB2312"/>
          <w:sz w:val="32"/>
          <w:szCs w:val="32"/>
        </w:rPr>
        <w:t>同比增加17.3</w:t>
      </w:r>
      <w:r>
        <w:rPr>
          <w:rFonts w:eastAsia="仿宋_GB2312"/>
          <w:sz w:val="32"/>
          <w:szCs w:val="32"/>
        </w:rPr>
        <w:t>%，主要原因是</w:t>
      </w:r>
      <w:r>
        <w:rPr>
          <w:rFonts w:hint="eastAsia" w:eastAsia="仿宋_GB2312"/>
          <w:sz w:val="32"/>
          <w:szCs w:val="32"/>
        </w:rPr>
        <w:t>2020年增加了绩效奖金预算和支出</w:t>
      </w:r>
      <w:r>
        <w:rPr>
          <w:rFonts w:eastAsia="仿宋_GB2312"/>
          <w:sz w:val="32"/>
          <w:szCs w:val="32"/>
        </w:rPr>
        <w:t>。</w:t>
      </w:r>
    </w:p>
    <w:p w14:paraId="05BF01A8">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（二）商品和服务支出</w:t>
      </w:r>
      <w:r>
        <w:rPr>
          <w:rFonts w:hint="eastAsia" w:eastAsia="仿宋_GB2312"/>
          <w:sz w:val="32"/>
          <w:szCs w:val="32"/>
        </w:rPr>
        <w:t>3.0</w:t>
      </w:r>
      <w:r>
        <w:rPr>
          <w:rFonts w:eastAsia="仿宋_GB2312"/>
          <w:sz w:val="32"/>
          <w:szCs w:val="32"/>
        </w:rPr>
        <w:t>6万元，较2019年</w:t>
      </w:r>
      <w:r>
        <w:rPr>
          <w:rFonts w:hint="eastAsia" w:eastAsia="仿宋_GB2312"/>
          <w:sz w:val="32"/>
          <w:szCs w:val="32"/>
        </w:rPr>
        <w:t>减少8.93</w:t>
      </w:r>
      <w:r>
        <w:rPr>
          <w:rFonts w:eastAsia="仿宋_GB2312"/>
          <w:sz w:val="32"/>
          <w:szCs w:val="32"/>
        </w:rPr>
        <w:t>万元，</w:t>
      </w:r>
      <w:r>
        <w:rPr>
          <w:rFonts w:hint="eastAsia" w:eastAsia="仿宋_GB2312"/>
          <w:sz w:val="32"/>
          <w:szCs w:val="32"/>
        </w:rPr>
        <w:t>同比下降74.5</w:t>
      </w:r>
      <w:r>
        <w:rPr>
          <w:rFonts w:eastAsia="仿宋_GB2312"/>
          <w:sz w:val="32"/>
          <w:szCs w:val="32"/>
        </w:rPr>
        <w:t>%，主要原因是2020年单位商品和服务支出</w:t>
      </w:r>
      <w:r>
        <w:rPr>
          <w:rFonts w:hint="eastAsia" w:eastAsia="仿宋_GB2312"/>
          <w:sz w:val="32"/>
          <w:szCs w:val="32"/>
        </w:rPr>
        <w:t>除</w:t>
      </w:r>
      <w:r>
        <w:rPr>
          <w:rFonts w:eastAsia="仿宋_GB2312"/>
          <w:sz w:val="32"/>
          <w:szCs w:val="32"/>
        </w:rPr>
        <w:t>一般公共预算财政拨款</w:t>
      </w:r>
      <w:r>
        <w:rPr>
          <w:rFonts w:hint="eastAsia" w:eastAsia="仿宋_GB2312"/>
          <w:sz w:val="32"/>
          <w:szCs w:val="32"/>
        </w:rPr>
        <w:t>外，政府性基金支出8.64万元，两者合计11.70万元，与2019年基本持平</w:t>
      </w:r>
      <w:r>
        <w:rPr>
          <w:rFonts w:eastAsia="仿宋_GB2312"/>
          <w:sz w:val="32"/>
          <w:szCs w:val="32"/>
        </w:rPr>
        <w:t>。</w:t>
      </w:r>
    </w:p>
    <w:p w14:paraId="000BEAE6">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（三）对个人和家庭补助支出</w:t>
      </w:r>
      <w:r>
        <w:rPr>
          <w:rFonts w:hint="eastAsia" w:eastAsia="仿宋_GB2312"/>
          <w:sz w:val="32"/>
          <w:szCs w:val="32"/>
        </w:rPr>
        <w:t>0</w:t>
      </w:r>
      <w:r>
        <w:rPr>
          <w:rFonts w:eastAsia="仿宋_GB2312"/>
          <w:sz w:val="32"/>
          <w:szCs w:val="32"/>
        </w:rPr>
        <w:t>万元，</w:t>
      </w:r>
      <w:r>
        <w:rPr>
          <w:rFonts w:hint="eastAsia" w:eastAsia="仿宋_GB2312"/>
          <w:sz w:val="32"/>
          <w:szCs w:val="32"/>
        </w:rPr>
        <w:t>与</w:t>
      </w:r>
      <w:r>
        <w:rPr>
          <w:rFonts w:eastAsia="仿宋_GB2312"/>
          <w:sz w:val="32"/>
          <w:szCs w:val="32"/>
        </w:rPr>
        <w:t>2019年</w:t>
      </w:r>
      <w:r>
        <w:rPr>
          <w:rFonts w:hint="eastAsia" w:eastAsia="仿宋_GB2312"/>
          <w:sz w:val="32"/>
          <w:szCs w:val="32"/>
        </w:rPr>
        <w:t>相同</w:t>
      </w:r>
      <w:r>
        <w:rPr>
          <w:rFonts w:eastAsia="仿宋_GB2312"/>
          <w:sz w:val="32"/>
          <w:szCs w:val="32"/>
        </w:rPr>
        <w:t>。</w:t>
      </w:r>
    </w:p>
    <w:p w14:paraId="7384C62C">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（四）</w:t>
      </w:r>
      <w:r>
        <w:rPr>
          <w:rFonts w:hint="eastAsia" w:eastAsia="仿宋_GB2312"/>
          <w:sz w:val="32"/>
          <w:szCs w:val="32"/>
        </w:rPr>
        <w:t>其他</w:t>
      </w:r>
      <w:r>
        <w:rPr>
          <w:rFonts w:eastAsia="仿宋_GB2312"/>
          <w:sz w:val="32"/>
          <w:szCs w:val="32"/>
        </w:rPr>
        <w:t>资本性支出</w:t>
      </w:r>
      <w:r>
        <w:rPr>
          <w:rFonts w:hint="eastAsia" w:eastAsia="仿宋_GB2312"/>
          <w:sz w:val="32"/>
          <w:szCs w:val="32"/>
        </w:rPr>
        <w:t>0</w:t>
      </w:r>
      <w:r>
        <w:rPr>
          <w:rFonts w:eastAsia="仿宋_GB2312"/>
          <w:sz w:val="32"/>
          <w:szCs w:val="32"/>
        </w:rPr>
        <w:t>万元，</w:t>
      </w:r>
      <w:r>
        <w:rPr>
          <w:rFonts w:hint="eastAsia" w:eastAsia="仿宋_GB2312"/>
          <w:sz w:val="32"/>
          <w:szCs w:val="32"/>
        </w:rPr>
        <w:t>与</w:t>
      </w:r>
      <w:r>
        <w:rPr>
          <w:rFonts w:eastAsia="仿宋_GB2312"/>
          <w:sz w:val="32"/>
          <w:szCs w:val="32"/>
        </w:rPr>
        <w:t>2019年</w:t>
      </w:r>
      <w:r>
        <w:rPr>
          <w:rFonts w:hint="eastAsia" w:eastAsia="仿宋_GB2312"/>
          <w:sz w:val="32"/>
          <w:szCs w:val="32"/>
        </w:rPr>
        <w:t>相同</w:t>
      </w:r>
      <w:r>
        <w:rPr>
          <w:rFonts w:eastAsia="仿宋_GB2312"/>
          <w:sz w:val="32"/>
          <w:szCs w:val="32"/>
        </w:rPr>
        <w:t>。</w:t>
      </w:r>
    </w:p>
    <w:p w14:paraId="2A2753B9">
      <w:pPr>
        <w:widowControl/>
        <w:spacing w:line="600" w:lineRule="exact"/>
        <w:ind w:firstLine="643" w:firstLineChars="20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五、一般公共预算财政拨款“三公”经费支出决算情况说明</w:t>
      </w:r>
    </w:p>
    <w:p w14:paraId="7D2A72FC">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hint="eastAsia" w:eastAsia="仿宋_GB2312"/>
          <w:sz w:val="32"/>
          <w:szCs w:val="32"/>
        </w:rPr>
        <w:t>单位</w:t>
      </w:r>
      <w:r>
        <w:rPr>
          <w:rFonts w:eastAsia="仿宋_GB2312"/>
          <w:sz w:val="32"/>
          <w:szCs w:val="32"/>
        </w:rPr>
        <w:t>2020年度一般公共预算财政拨款“三公”经费支出年初预算数为</w:t>
      </w:r>
      <w:r>
        <w:rPr>
          <w:rFonts w:hint="eastAsia" w:eastAsia="仿宋_GB2312"/>
          <w:sz w:val="32"/>
          <w:szCs w:val="32"/>
        </w:rPr>
        <w:t>0.20</w:t>
      </w:r>
      <w:r>
        <w:rPr>
          <w:rFonts w:eastAsia="仿宋_GB2312"/>
          <w:sz w:val="32"/>
          <w:szCs w:val="32"/>
        </w:rPr>
        <w:t>万元，决算数为0万元，完成预算的0%，</w:t>
      </w:r>
      <w:r>
        <w:rPr>
          <w:rFonts w:hint="eastAsia" w:ascii="仿宋_GB2312" w:hAnsi="仿宋" w:eastAsia="仿宋_GB2312"/>
          <w:sz w:val="32"/>
          <w:szCs w:val="32"/>
        </w:rPr>
        <w:t>决算数较2019年</w:t>
      </w:r>
      <w:r>
        <w:rPr>
          <w:rFonts w:hint="eastAsia" w:ascii="仿宋_GB2312" w:hAnsi="仿宋" w:eastAsia="仿宋_GB2312"/>
          <w:sz w:val="32"/>
          <w:szCs w:val="32"/>
          <w:lang w:eastAsia="zh-CN"/>
        </w:rPr>
        <w:t>持平</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eastAsia="仿宋_GB2312"/>
          <w:sz w:val="32"/>
          <w:szCs w:val="32"/>
        </w:rPr>
        <w:t>其中：</w:t>
      </w:r>
    </w:p>
    <w:p w14:paraId="2B06A9E0">
      <w:pPr>
        <w:numPr>
          <w:ilvl w:val="0"/>
          <w:numId w:val="0"/>
        </w:numPr>
        <w:ind w:firstLine="640" w:firstLineChars="200"/>
        <w:jc w:val="left"/>
        <w:rPr>
          <w:rFonts w:hint="eastAsia" w:ascii="仿宋_GB2312" w:hAnsi="仿宋" w:eastAsia="仿宋_GB2312"/>
          <w:sz w:val="32"/>
          <w:szCs w:val="32"/>
        </w:rPr>
      </w:pPr>
      <w:r>
        <w:rPr>
          <w:rFonts w:eastAsia="仿宋_GB2312"/>
          <w:sz w:val="32"/>
          <w:szCs w:val="32"/>
        </w:rPr>
        <w:t>（一）因公出国（境）支出年初预算数为0万元，决算数为0万元，完成预算的</w:t>
      </w:r>
      <w:r>
        <w:rPr>
          <w:rFonts w:hint="eastAsia" w:eastAsia="仿宋_GB2312"/>
          <w:sz w:val="32"/>
          <w:szCs w:val="32"/>
          <w:lang w:val="en-US" w:eastAsia="zh-CN"/>
        </w:rPr>
        <w:t>0</w:t>
      </w:r>
      <w:r>
        <w:rPr>
          <w:rFonts w:eastAsia="仿宋_GB2312"/>
          <w:sz w:val="32"/>
          <w:szCs w:val="32"/>
        </w:rPr>
        <w:t>%，</w:t>
      </w:r>
      <w:r>
        <w:rPr>
          <w:rFonts w:hint="eastAsia" w:ascii="仿宋_GB2312" w:hAnsi="仿宋" w:eastAsia="仿宋_GB2312"/>
          <w:sz w:val="32"/>
          <w:szCs w:val="32"/>
        </w:rPr>
        <w:t>决算数较2019年</w:t>
      </w:r>
      <w:r>
        <w:rPr>
          <w:rFonts w:hint="eastAsia" w:ascii="仿宋_GB2312" w:hAnsi="仿宋" w:eastAsia="仿宋_GB2312"/>
          <w:sz w:val="32"/>
          <w:szCs w:val="32"/>
          <w:lang w:eastAsia="zh-CN"/>
        </w:rPr>
        <w:t>持平</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w:t>
      </w:r>
      <w:r>
        <w:rPr>
          <w:rFonts w:hint="eastAsia" w:ascii="仿宋_GB2312" w:hAnsi="仿宋_GB2312" w:eastAsia="仿宋_GB2312" w:cs="仿宋_GB2312"/>
          <w:sz w:val="32"/>
          <w:szCs w:val="32"/>
          <w:lang w:val="en-US" w:eastAsia="zh-CN"/>
        </w:rPr>
        <w:t>从严从紧管控“三公”经费支出，全年未发生相关支出。</w:t>
      </w:r>
      <w:r>
        <w:rPr>
          <w:rFonts w:hint="eastAsia" w:ascii="仿宋_GB2312" w:hAnsi="仿宋" w:eastAsia="仿宋_GB2312"/>
          <w:sz w:val="32"/>
          <w:szCs w:val="32"/>
        </w:rPr>
        <w:t>决算数较年初预算数</w:t>
      </w:r>
      <w:r>
        <w:rPr>
          <w:rFonts w:hint="eastAsia" w:ascii="仿宋_GB2312" w:hAnsi="仿宋" w:eastAsia="仿宋_GB2312"/>
          <w:sz w:val="32"/>
          <w:szCs w:val="32"/>
          <w:lang w:eastAsia="zh-CN"/>
        </w:rPr>
        <w:t>持平</w:t>
      </w:r>
      <w:r>
        <w:rPr>
          <w:rFonts w:hint="eastAsia" w:ascii="仿宋_GB2312" w:hAnsi="仿宋" w:eastAsia="仿宋_GB2312"/>
          <w:sz w:val="32"/>
          <w:szCs w:val="32"/>
        </w:rPr>
        <w:t>的主要原因是：</w:t>
      </w:r>
      <w:r>
        <w:rPr>
          <w:rFonts w:hint="eastAsia" w:ascii="仿宋_GB2312" w:hAnsi="仿宋_GB2312" w:eastAsia="仿宋_GB2312" w:cs="仿宋_GB2312"/>
          <w:sz w:val="32"/>
          <w:szCs w:val="32"/>
          <w:lang w:val="en-US" w:eastAsia="zh-CN"/>
        </w:rPr>
        <w:t>从严从紧管控“三公”经费支出，全年未发生相关支出。</w:t>
      </w:r>
      <w:r>
        <w:rPr>
          <w:rFonts w:hint="eastAsia" w:ascii="仿宋_GB2312" w:hAnsi="仿宋" w:eastAsia="仿宋_GB2312" w:cs="Times New Roman"/>
          <w:sz w:val="32"/>
          <w:szCs w:val="32"/>
          <w:lang w:val="en-US" w:eastAsia="zh-CN"/>
        </w:rPr>
        <w:t>全年安排因公出国（境）团组0个，累计 0人次，</w:t>
      </w:r>
      <w:r>
        <w:rPr>
          <w:rFonts w:hint="default" w:ascii="仿宋_GB2312" w:hAnsi="仿宋" w:eastAsia="仿宋_GB2312" w:cs="Times New Roman"/>
          <w:sz w:val="32"/>
          <w:szCs w:val="32"/>
          <w:lang w:val="en-US" w:eastAsia="zh-CN"/>
        </w:rPr>
        <w:t>主要原因是全年未发生</w:t>
      </w:r>
      <w:r>
        <w:rPr>
          <w:rFonts w:hint="default" w:eastAsia="仿宋_GB2312" w:cs="Times New Roman"/>
          <w:sz w:val="32"/>
          <w:szCs w:val="32"/>
          <w:lang w:val="en-US" w:eastAsia="zh-CN"/>
        </w:rPr>
        <w:t>相关支出</w:t>
      </w:r>
      <w:r>
        <w:rPr>
          <w:rFonts w:hint="eastAsia" w:eastAsia="仿宋_GB2312" w:cs="Times New Roman"/>
          <w:sz w:val="32"/>
          <w:szCs w:val="32"/>
          <w:lang w:val="en-US" w:eastAsia="zh-CN"/>
        </w:rPr>
        <w:t>。</w:t>
      </w:r>
    </w:p>
    <w:p w14:paraId="0012C9CD">
      <w:pPr>
        <w:pStyle w:val="7"/>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 xml:space="preserve">（二）公务接待费支出年初预算数为 </w:t>
      </w:r>
      <w:r>
        <w:rPr>
          <w:rFonts w:hint="eastAsia" w:ascii="仿宋_GB2312" w:hAnsi="仿宋" w:eastAsia="仿宋_GB2312"/>
          <w:sz w:val="32"/>
          <w:szCs w:val="32"/>
          <w:lang w:val="en-US" w:eastAsia="zh-CN"/>
        </w:rPr>
        <w:t>0.2</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%，决算数较2019年</w:t>
      </w:r>
      <w:r>
        <w:rPr>
          <w:rFonts w:hint="eastAsia" w:ascii="仿宋_GB2312" w:hAnsi="仿宋" w:eastAsia="仿宋_GB2312"/>
          <w:sz w:val="32"/>
          <w:szCs w:val="32"/>
          <w:lang w:eastAsia="zh-CN"/>
        </w:rPr>
        <w:t>持平</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%，主要原因是</w:t>
      </w:r>
      <w:r>
        <w:rPr>
          <w:rFonts w:hint="eastAsia" w:ascii="仿宋_GB2312" w:hAnsi="仿宋_GB2312" w:eastAsia="仿宋_GB2312" w:cs="仿宋_GB2312"/>
          <w:sz w:val="32"/>
          <w:szCs w:val="32"/>
          <w:lang w:val="en-US" w:eastAsia="zh-CN"/>
        </w:rPr>
        <w:t>从严从紧管控“三公”经费支出，全年未发生相关支出。</w:t>
      </w:r>
      <w:r>
        <w:rPr>
          <w:rFonts w:hint="eastAsia" w:ascii="仿宋_GB2312" w:hAnsi="仿宋" w:eastAsia="仿宋_GB2312"/>
          <w:sz w:val="32"/>
          <w:szCs w:val="32"/>
        </w:rPr>
        <w:t>决算数较年初预算数减少的主要原因是：</w:t>
      </w:r>
      <w:r>
        <w:rPr>
          <w:rFonts w:hint="eastAsia" w:ascii="仿宋_GB2312" w:hAnsi="仿宋_GB2312" w:eastAsia="仿宋_GB2312" w:cs="仿宋_GB2312"/>
          <w:sz w:val="32"/>
          <w:szCs w:val="32"/>
          <w:lang w:val="en-US" w:eastAsia="zh-CN"/>
        </w:rPr>
        <w:t>从严从紧管控“三公”经费支出，全年未发生相关支出。</w:t>
      </w:r>
    </w:p>
    <w:p w14:paraId="7B7D86EB">
      <w:pPr>
        <w:ind w:firstLine="630"/>
        <w:jc w:val="left"/>
        <w:rPr>
          <w:rFonts w:hint="default" w:ascii="仿宋_GB2312" w:hAnsi="仿宋" w:eastAsia="仿宋_GB2312"/>
          <w:sz w:val="32"/>
          <w:szCs w:val="32"/>
          <w:lang w:val="en-US"/>
        </w:rPr>
      </w:pPr>
      <w:r>
        <w:rPr>
          <w:rFonts w:hint="eastAsia" w:ascii="仿宋_GB2312" w:hAnsi="仿宋" w:eastAsia="仿宋_GB2312"/>
          <w:sz w:val="32"/>
          <w:szCs w:val="32"/>
        </w:rPr>
        <w:t xml:space="preserve">（三）公务用车购置及运行维护费支出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万元，其中公务用车购置年初预算数为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万元，决算数为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%，决算数较2019年</w:t>
      </w:r>
      <w:r>
        <w:rPr>
          <w:rFonts w:hint="eastAsia" w:ascii="仿宋_GB2312" w:hAnsi="仿宋" w:eastAsia="仿宋_GB2312"/>
          <w:sz w:val="32"/>
          <w:szCs w:val="32"/>
          <w:lang w:eastAsia="zh-CN"/>
        </w:rPr>
        <w:t>持平</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%，主要原因是</w:t>
      </w:r>
      <w:r>
        <w:rPr>
          <w:rFonts w:hint="eastAsia" w:ascii="仿宋_GB2312" w:hAnsi="仿宋_GB2312" w:eastAsia="仿宋_GB2312" w:cs="仿宋_GB2312"/>
          <w:sz w:val="32"/>
          <w:szCs w:val="32"/>
          <w:lang w:val="en-US" w:eastAsia="zh-CN"/>
        </w:rPr>
        <w:t>单位无公务用车。</w:t>
      </w:r>
      <w:r>
        <w:rPr>
          <w:rFonts w:hint="eastAsia" w:ascii="仿宋_GB2312" w:hAnsi="仿宋" w:eastAsia="仿宋_GB2312"/>
          <w:sz w:val="32"/>
          <w:szCs w:val="32"/>
        </w:rPr>
        <w:t xml:space="preserve">全年购置公务用车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辆。决算数较年初预算数</w:t>
      </w:r>
      <w:r>
        <w:rPr>
          <w:rFonts w:hint="eastAsia" w:ascii="仿宋_GB2312" w:hAnsi="仿宋" w:eastAsia="仿宋_GB2312"/>
          <w:sz w:val="32"/>
          <w:szCs w:val="32"/>
          <w:lang w:eastAsia="zh-CN"/>
        </w:rPr>
        <w:t>持平的</w:t>
      </w:r>
      <w:r>
        <w:rPr>
          <w:rFonts w:hint="eastAsia" w:ascii="仿宋_GB2312" w:hAnsi="仿宋" w:eastAsia="仿宋_GB2312"/>
          <w:sz w:val="32"/>
          <w:szCs w:val="32"/>
        </w:rPr>
        <w:t>主要原因是：</w:t>
      </w:r>
      <w:r>
        <w:rPr>
          <w:rFonts w:hint="eastAsia" w:ascii="仿宋_GB2312" w:hAnsi="仿宋_GB2312" w:eastAsia="仿宋_GB2312" w:cs="仿宋_GB2312"/>
          <w:sz w:val="32"/>
          <w:szCs w:val="32"/>
          <w:lang w:val="en-US" w:eastAsia="zh-CN"/>
        </w:rPr>
        <w:t>事单位无公务用车。</w:t>
      </w:r>
      <w:r>
        <w:rPr>
          <w:rFonts w:hint="eastAsia" w:ascii="仿宋_GB2312" w:hAnsi="仿宋" w:eastAsia="仿宋_GB2312"/>
          <w:sz w:val="32"/>
          <w:szCs w:val="32"/>
        </w:rPr>
        <w:t>公务用车运行维护费支出年初预算数为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%，决算数较2019年</w:t>
      </w:r>
      <w:r>
        <w:rPr>
          <w:rFonts w:hint="eastAsia" w:ascii="仿宋_GB2312" w:hAnsi="仿宋" w:eastAsia="仿宋_GB2312"/>
          <w:sz w:val="32"/>
          <w:szCs w:val="32"/>
          <w:lang w:eastAsia="zh-CN"/>
        </w:rPr>
        <w:t>持平</w:t>
      </w:r>
      <w:r>
        <w:rPr>
          <w:rFonts w:hint="eastAsia" w:ascii="仿宋_GB2312" w:hAnsi="仿宋" w:eastAsia="仿宋_GB2312"/>
          <w:sz w:val="32"/>
          <w:szCs w:val="32"/>
        </w:rPr>
        <w:t>，增长</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%，主要原因是</w:t>
      </w:r>
      <w:r>
        <w:rPr>
          <w:rFonts w:hint="eastAsia" w:ascii="仿宋_GB2312" w:hAnsi="仿宋_GB2312" w:eastAsia="仿宋_GB2312" w:cs="仿宋_GB2312"/>
          <w:sz w:val="32"/>
          <w:szCs w:val="32"/>
          <w:lang w:val="en-US" w:eastAsia="zh-CN"/>
        </w:rPr>
        <w:t>单位无公务用车</w:t>
      </w:r>
      <w:r>
        <w:rPr>
          <w:rFonts w:hint="eastAsia" w:ascii="仿宋_GB2312" w:hAnsi="仿宋" w:eastAsia="仿宋_GB2312"/>
          <w:sz w:val="32"/>
          <w:szCs w:val="32"/>
        </w:rPr>
        <w:t xml:space="preserve">，年末公务用车保有 </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辆。决算数较年初预算数</w:t>
      </w:r>
      <w:r>
        <w:rPr>
          <w:rFonts w:hint="eastAsia" w:ascii="仿宋_GB2312" w:hAnsi="仿宋" w:eastAsia="仿宋_GB2312"/>
          <w:sz w:val="32"/>
          <w:szCs w:val="32"/>
          <w:lang w:eastAsia="zh-CN"/>
        </w:rPr>
        <w:t>持平</w:t>
      </w:r>
      <w:r>
        <w:rPr>
          <w:rFonts w:hint="eastAsia" w:ascii="仿宋_GB2312" w:hAnsi="仿宋" w:eastAsia="仿宋_GB2312"/>
          <w:sz w:val="32"/>
          <w:szCs w:val="32"/>
        </w:rPr>
        <w:t>的主要原因是：</w:t>
      </w:r>
      <w:r>
        <w:rPr>
          <w:rFonts w:hint="eastAsia" w:ascii="仿宋_GB2312" w:hAnsi="仿宋_GB2312" w:eastAsia="仿宋_GB2312" w:cs="仿宋_GB2312"/>
          <w:sz w:val="32"/>
          <w:szCs w:val="32"/>
          <w:lang w:val="en-US" w:eastAsia="zh-CN"/>
        </w:rPr>
        <w:t>单位无公务用车。</w:t>
      </w:r>
    </w:p>
    <w:p w14:paraId="68AC29E2">
      <w:pPr>
        <w:pStyle w:val="7"/>
        <w:widowControl w:val="0"/>
        <w:shd w:val="clear" w:color="auto" w:fill="FFFFFF"/>
        <w:tabs>
          <w:tab w:val="left" w:pos="6546"/>
        </w:tabs>
        <w:adjustRightInd w:val="0"/>
        <w:spacing w:line="600" w:lineRule="exact"/>
        <w:ind w:firstLine="643" w:firstLineChars="200"/>
        <w:rPr>
          <w:rFonts w:eastAsia="仿宋_GB2312"/>
          <w:b/>
          <w:bCs/>
          <w:sz w:val="32"/>
          <w:szCs w:val="32"/>
        </w:rPr>
      </w:pPr>
      <w:r>
        <w:rPr>
          <w:rFonts w:eastAsia="仿宋_GB2312"/>
          <w:b/>
          <w:bCs/>
          <w:sz w:val="32"/>
          <w:szCs w:val="32"/>
        </w:rPr>
        <w:t>六、机关运行经费支出情况说明</w:t>
      </w:r>
    </w:p>
    <w:p w14:paraId="746D77B7">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单位2020年度机关运行经费</w:t>
      </w:r>
      <w:r>
        <w:rPr>
          <w:rFonts w:hint="eastAsia" w:eastAsia="仿宋_GB2312"/>
          <w:sz w:val="32"/>
          <w:szCs w:val="32"/>
        </w:rPr>
        <w:t>3.06</w:t>
      </w:r>
      <w:r>
        <w:rPr>
          <w:rFonts w:eastAsia="仿宋_GB2312"/>
          <w:sz w:val="32"/>
          <w:szCs w:val="32"/>
        </w:rPr>
        <w:t>万元</w:t>
      </w:r>
      <w:r>
        <w:rPr>
          <w:rFonts w:hint="eastAsia" w:eastAsia="仿宋_GB2312"/>
          <w:sz w:val="32"/>
          <w:szCs w:val="32"/>
        </w:rPr>
        <w:t>，比上年决算数减少8.93</w:t>
      </w:r>
      <w:r>
        <w:rPr>
          <w:rFonts w:eastAsia="仿宋_GB2312"/>
          <w:sz w:val="32"/>
          <w:szCs w:val="32"/>
        </w:rPr>
        <w:t>万元，</w:t>
      </w:r>
      <w:r>
        <w:rPr>
          <w:rFonts w:hint="eastAsia" w:eastAsia="仿宋_GB2312"/>
          <w:sz w:val="32"/>
          <w:szCs w:val="32"/>
        </w:rPr>
        <w:t>同比下降74.5</w:t>
      </w:r>
      <w:r>
        <w:rPr>
          <w:rFonts w:eastAsia="仿宋_GB2312"/>
          <w:sz w:val="32"/>
          <w:szCs w:val="32"/>
        </w:rPr>
        <w:t>%，</w:t>
      </w:r>
      <w:r>
        <w:rPr>
          <w:rFonts w:hint="eastAsia" w:eastAsia="仿宋_GB2312"/>
          <w:sz w:val="32"/>
          <w:szCs w:val="32"/>
        </w:rPr>
        <w:t>加上政府性基金支出</w:t>
      </w:r>
      <w:r>
        <w:rPr>
          <w:rFonts w:eastAsia="仿宋_GB2312"/>
          <w:sz w:val="32"/>
          <w:szCs w:val="32"/>
        </w:rPr>
        <w:t>机关运行经费</w:t>
      </w:r>
      <w:r>
        <w:rPr>
          <w:rFonts w:hint="eastAsia" w:eastAsia="仿宋_GB2312"/>
          <w:sz w:val="32"/>
          <w:szCs w:val="32"/>
        </w:rPr>
        <w:t>8.64万元，两者合计11.70万元，同比减少0.29万元，下降2.4%。</w:t>
      </w:r>
      <w:r>
        <w:rPr>
          <w:rFonts w:eastAsia="仿宋_GB2312"/>
          <w:sz w:val="32"/>
          <w:szCs w:val="32"/>
        </w:rPr>
        <w:t>主要原因是</w:t>
      </w:r>
      <w:r>
        <w:rPr>
          <w:rFonts w:hint="eastAsia" w:eastAsia="仿宋_GB2312"/>
          <w:sz w:val="32"/>
          <w:szCs w:val="32"/>
        </w:rPr>
        <w:t>单位</w:t>
      </w:r>
      <w:r>
        <w:rPr>
          <w:rFonts w:eastAsia="仿宋_GB2312"/>
          <w:sz w:val="32"/>
          <w:szCs w:val="32"/>
        </w:rPr>
        <w:t>落实过紧日子要求压减</w:t>
      </w:r>
      <w:r>
        <w:rPr>
          <w:rFonts w:hint="eastAsia" w:eastAsia="仿宋_GB2312"/>
          <w:sz w:val="32"/>
          <w:szCs w:val="32"/>
        </w:rPr>
        <w:t>一般性公用</w:t>
      </w:r>
      <w:r>
        <w:rPr>
          <w:rFonts w:eastAsia="仿宋_GB2312"/>
          <w:sz w:val="32"/>
          <w:szCs w:val="32"/>
        </w:rPr>
        <w:t>支出</w:t>
      </w:r>
      <w:r>
        <w:rPr>
          <w:rFonts w:hint="eastAsia" w:eastAsia="仿宋_GB2312"/>
          <w:sz w:val="32"/>
          <w:szCs w:val="32"/>
        </w:rPr>
        <w:t>，</w:t>
      </w:r>
      <w:r>
        <w:rPr>
          <w:rFonts w:eastAsia="仿宋_GB2312"/>
          <w:sz w:val="32"/>
          <w:szCs w:val="32"/>
        </w:rPr>
        <w:t>资产运行维护支出</w:t>
      </w:r>
      <w:r>
        <w:rPr>
          <w:rFonts w:hint="eastAsia" w:eastAsia="仿宋_GB2312"/>
          <w:sz w:val="32"/>
          <w:szCs w:val="32"/>
        </w:rPr>
        <w:t>、</w:t>
      </w:r>
      <w:r>
        <w:rPr>
          <w:rFonts w:eastAsia="仿宋_GB2312"/>
          <w:sz w:val="32"/>
          <w:szCs w:val="32"/>
        </w:rPr>
        <w:t>三公经费</w:t>
      </w:r>
      <w:r>
        <w:rPr>
          <w:rFonts w:hint="eastAsia" w:eastAsia="仿宋_GB2312"/>
          <w:sz w:val="32"/>
          <w:szCs w:val="32"/>
        </w:rPr>
        <w:t>等</w:t>
      </w:r>
      <w:r>
        <w:rPr>
          <w:rFonts w:eastAsia="仿宋_GB2312"/>
          <w:sz w:val="32"/>
          <w:szCs w:val="32"/>
        </w:rPr>
        <w:t>减少。</w:t>
      </w:r>
    </w:p>
    <w:p w14:paraId="1EE39222">
      <w:pPr>
        <w:widowControl/>
        <w:spacing w:line="600" w:lineRule="exact"/>
        <w:ind w:firstLine="64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七、政府采购支出情况说明</w:t>
      </w:r>
    </w:p>
    <w:p w14:paraId="213F6BA4">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单位2020年度政府采购支出总额</w:t>
      </w:r>
      <w:r>
        <w:rPr>
          <w:rFonts w:hint="eastAsia" w:eastAsia="仿宋_GB2312"/>
          <w:sz w:val="32"/>
          <w:szCs w:val="32"/>
        </w:rPr>
        <w:t>0.99</w:t>
      </w:r>
      <w:r>
        <w:rPr>
          <w:rFonts w:eastAsia="仿宋_GB2312"/>
          <w:sz w:val="32"/>
          <w:szCs w:val="32"/>
        </w:rPr>
        <w:t>万元，其中：政府采购货物支出</w:t>
      </w:r>
      <w:r>
        <w:rPr>
          <w:rFonts w:hint="eastAsia" w:eastAsia="仿宋_GB2312"/>
          <w:sz w:val="32"/>
          <w:szCs w:val="32"/>
        </w:rPr>
        <w:t>0.99</w:t>
      </w:r>
      <w:r>
        <w:rPr>
          <w:rFonts w:eastAsia="仿宋_GB2312"/>
          <w:sz w:val="32"/>
          <w:szCs w:val="32"/>
        </w:rPr>
        <w:t>万元</w:t>
      </w:r>
      <w:r>
        <w:rPr>
          <w:rFonts w:hint="eastAsia" w:eastAsia="仿宋_GB2312"/>
          <w:sz w:val="32"/>
          <w:szCs w:val="32"/>
        </w:rPr>
        <w:t>，</w:t>
      </w:r>
      <w:r>
        <w:rPr>
          <w:rFonts w:eastAsia="仿宋_GB2312"/>
          <w:sz w:val="32"/>
          <w:szCs w:val="32"/>
        </w:rPr>
        <w:t>政府采购工程支出0万元</w:t>
      </w:r>
      <w:r>
        <w:rPr>
          <w:rFonts w:hint="eastAsia" w:eastAsia="仿宋_GB2312"/>
          <w:sz w:val="32"/>
          <w:szCs w:val="32"/>
        </w:rPr>
        <w:t>，</w:t>
      </w:r>
      <w:r>
        <w:rPr>
          <w:rFonts w:eastAsia="仿宋_GB2312"/>
          <w:sz w:val="32"/>
          <w:szCs w:val="32"/>
        </w:rPr>
        <w:t>政府采购服务支出0万元。授予中小企业合同金额</w:t>
      </w:r>
      <w:r>
        <w:rPr>
          <w:rFonts w:hint="eastAsia" w:eastAsia="仿宋_GB2312"/>
          <w:sz w:val="32"/>
          <w:szCs w:val="32"/>
        </w:rPr>
        <w:t>0.99</w:t>
      </w:r>
      <w:r>
        <w:rPr>
          <w:rFonts w:eastAsia="仿宋_GB2312"/>
          <w:sz w:val="32"/>
          <w:szCs w:val="32"/>
        </w:rPr>
        <w:t>万元，占政府采购支出总额的100%，其中：授予小微企业合同金额</w:t>
      </w:r>
      <w:r>
        <w:rPr>
          <w:rFonts w:hint="eastAsia" w:eastAsia="仿宋_GB2312"/>
          <w:sz w:val="32"/>
          <w:szCs w:val="32"/>
        </w:rPr>
        <w:t>0.99</w:t>
      </w:r>
      <w:r>
        <w:rPr>
          <w:rFonts w:eastAsia="仿宋_GB2312"/>
          <w:sz w:val="32"/>
          <w:szCs w:val="32"/>
        </w:rPr>
        <w:t>万元</w:t>
      </w:r>
      <w:r>
        <w:rPr>
          <w:rFonts w:hint="eastAsia" w:eastAsia="仿宋_GB2312"/>
          <w:sz w:val="32"/>
          <w:szCs w:val="32"/>
        </w:rPr>
        <w:t>，</w:t>
      </w:r>
      <w:r>
        <w:rPr>
          <w:rFonts w:eastAsia="仿宋_GB2312"/>
          <w:sz w:val="32"/>
          <w:szCs w:val="32"/>
        </w:rPr>
        <w:t>占政府采购支出总额的100%。</w:t>
      </w:r>
    </w:p>
    <w:p w14:paraId="244A699E">
      <w:pPr>
        <w:widowControl/>
        <w:spacing w:line="600" w:lineRule="exact"/>
        <w:ind w:firstLine="64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八、国有资产占用情况说明</w:t>
      </w:r>
    </w:p>
    <w:p w14:paraId="07C03671">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截止2020年12月31日，单位国有资产占用情况见公开10表《国有资产占用情况表》</w:t>
      </w:r>
      <w:r>
        <w:rPr>
          <w:rFonts w:hint="eastAsia" w:eastAsia="仿宋_GB2312"/>
          <w:sz w:val="32"/>
          <w:szCs w:val="32"/>
        </w:rPr>
        <w:t>：本</w:t>
      </w:r>
      <w:r>
        <w:rPr>
          <w:rFonts w:eastAsia="仿宋_GB2312"/>
          <w:sz w:val="32"/>
          <w:szCs w:val="32"/>
        </w:rPr>
        <w:t>单位无国有资产占用情况。</w:t>
      </w:r>
    </w:p>
    <w:p w14:paraId="52DA43D6">
      <w:pPr>
        <w:widowControl/>
        <w:spacing w:line="600" w:lineRule="exact"/>
        <w:ind w:firstLine="640"/>
        <w:jc w:val="left"/>
        <w:rPr>
          <w:rFonts w:ascii="仿宋_GB2312" w:eastAsia="仿宋_GB2312" w:cs="仿宋_GB2312"/>
          <w:b/>
          <w:bCs/>
          <w:kern w:val="0"/>
          <w:sz w:val="32"/>
          <w:szCs w:val="32"/>
          <w:lang w:val="zh-CN"/>
        </w:rPr>
      </w:pPr>
      <w:r>
        <w:rPr>
          <w:rFonts w:hint="eastAsia" w:ascii="仿宋_GB2312" w:eastAsia="仿宋_GB2312" w:cs="仿宋_GB2312"/>
          <w:b/>
          <w:bCs/>
          <w:kern w:val="0"/>
          <w:sz w:val="32"/>
          <w:szCs w:val="32"/>
          <w:lang w:val="zh-CN"/>
        </w:rPr>
        <w:t>九、预算绩效情况说明</w:t>
      </w:r>
    </w:p>
    <w:p w14:paraId="6A7F29E7">
      <w:pPr>
        <w:widowControl/>
        <w:spacing w:line="640" w:lineRule="exact"/>
        <w:ind w:firstLine="640"/>
        <w:jc w:val="left"/>
        <w:rPr>
          <w:rFonts w:eastAsia="仿宋_GB2312"/>
          <w:sz w:val="32"/>
          <w:szCs w:val="32"/>
        </w:rPr>
      </w:pPr>
      <w:r>
        <w:rPr>
          <w:rFonts w:eastAsia="仿宋_GB2312"/>
          <w:sz w:val="32"/>
          <w:szCs w:val="32"/>
        </w:rPr>
        <w:t>单位2020年度一般公共预算项目支出所有二级项目</w:t>
      </w:r>
      <w:r>
        <w:rPr>
          <w:rFonts w:hint="eastAsia" w:eastAsia="仿宋_GB2312"/>
          <w:sz w:val="32"/>
          <w:szCs w:val="32"/>
        </w:rPr>
        <w:t>0</w:t>
      </w:r>
      <w:r>
        <w:rPr>
          <w:rFonts w:eastAsia="仿宋_GB2312"/>
          <w:sz w:val="32"/>
          <w:szCs w:val="32"/>
        </w:rPr>
        <w:t>个。主要原因是应部门预算项目要求，单位应对轻重缓急项目排序。</w:t>
      </w:r>
    </w:p>
    <w:p w14:paraId="5ECBDF61">
      <w:pPr>
        <w:widowControl/>
        <w:spacing w:line="640" w:lineRule="exact"/>
        <w:ind w:firstLine="640"/>
        <w:jc w:val="center"/>
        <w:rPr>
          <w:rFonts w:ascii="仿宋" w:hAnsi="仿宋" w:eastAsia="仿宋"/>
          <w:sz w:val="32"/>
          <w:szCs w:val="30"/>
        </w:rPr>
      </w:pPr>
      <w:r>
        <w:rPr>
          <w:rFonts w:hint="eastAsia" w:ascii="黑体" w:hAnsi="黑体" w:eastAsia="黑体"/>
          <w:sz w:val="32"/>
          <w:szCs w:val="32"/>
        </w:rPr>
        <w:t>第四部分  名词解释</w:t>
      </w:r>
    </w:p>
    <w:p w14:paraId="5EDE71AA">
      <w:pPr>
        <w:pStyle w:val="7"/>
        <w:widowControl w:val="0"/>
        <w:shd w:val="clear" w:color="auto" w:fill="FFFFFF"/>
        <w:tabs>
          <w:tab w:val="left" w:pos="6546"/>
        </w:tabs>
        <w:adjustRightInd w:val="0"/>
        <w:spacing w:line="640" w:lineRule="exact"/>
        <w:ind w:firstLine="643" w:firstLineChars="200"/>
        <w:rPr>
          <w:rFonts w:eastAsia="仿宋_GB2312"/>
          <w:b/>
          <w:bCs/>
          <w:sz w:val="32"/>
          <w:szCs w:val="32"/>
        </w:rPr>
      </w:pPr>
      <w:r>
        <w:rPr>
          <w:rFonts w:eastAsia="仿宋_GB2312"/>
          <w:b/>
          <w:bCs/>
          <w:sz w:val="32"/>
          <w:szCs w:val="32"/>
        </w:rPr>
        <w:t>一、收入科目</w:t>
      </w:r>
    </w:p>
    <w:p w14:paraId="0A92EF53">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（一）财政拨款：指</w:t>
      </w:r>
      <w:r>
        <w:rPr>
          <w:rFonts w:hint="eastAsia" w:eastAsia="仿宋_GB2312"/>
          <w:sz w:val="32"/>
          <w:szCs w:val="32"/>
        </w:rPr>
        <w:t>市</w:t>
      </w:r>
      <w:r>
        <w:rPr>
          <w:rFonts w:eastAsia="仿宋_GB2312"/>
          <w:sz w:val="32"/>
          <w:szCs w:val="32"/>
        </w:rPr>
        <w:t>级财政当年拨付的资金。</w:t>
      </w:r>
    </w:p>
    <w:p w14:paraId="06E2EA95">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（二）事业收入：指事业单位开展专业业务活动及辅助活动取得的收入。</w:t>
      </w:r>
    </w:p>
    <w:p w14:paraId="36DD32C8">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（三）事业单位经营收入：指事业单位在专业业务活动及辅助活动之外开展非独立核算经营活动取得的收入。</w:t>
      </w:r>
    </w:p>
    <w:p w14:paraId="0B1F3336">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（四）其他收入：指除财政拨款、事业收入、事业单位经营收入等以外的各项收入。</w:t>
      </w:r>
    </w:p>
    <w:p w14:paraId="38AE0AEF">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（五）附属单位上缴收入：反映事业单位附属的独立核算单位按规定标准或比例缴纳的各项收入。包括附属的事业单位上缴的收入和附属的企业上缴的利润等。</w:t>
      </w:r>
    </w:p>
    <w:p w14:paraId="254931A5">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（六）上级补助收入：反映事业单位从主管部门和上级单位取得的非财政补助收入。</w:t>
      </w:r>
    </w:p>
    <w:p w14:paraId="0B44CEBA">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（七）使用非财政拨款结余：填列历年滚存的非限定用途的非统计财政拨款结余弥补2020年收支差额的数额。</w:t>
      </w:r>
    </w:p>
    <w:p w14:paraId="31FBB55C">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（八）上年结转和结余：填列2020年全部结转和结余的资金数，包括当年结转结余资金和历年滚存结转结余资金。</w:t>
      </w:r>
    </w:p>
    <w:p w14:paraId="71E29729">
      <w:pPr>
        <w:pStyle w:val="7"/>
        <w:widowControl w:val="0"/>
        <w:shd w:val="clear" w:color="auto" w:fill="FFFFFF"/>
        <w:tabs>
          <w:tab w:val="left" w:pos="6546"/>
        </w:tabs>
        <w:adjustRightInd w:val="0"/>
        <w:spacing w:line="640" w:lineRule="exact"/>
        <w:ind w:firstLine="643" w:firstLineChars="200"/>
        <w:rPr>
          <w:rFonts w:eastAsia="仿宋_GB2312"/>
          <w:b/>
          <w:bCs/>
          <w:sz w:val="32"/>
          <w:szCs w:val="32"/>
        </w:rPr>
      </w:pPr>
      <w:r>
        <w:rPr>
          <w:rFonts w:eastAsia="仿宋_GB2312"/>
          <w:b/>
          <w:bCs/>
          <w:sz w:val="32"/>
          <w:szCs w:val="32"/>
        </w:rPr>
        <w:t>二、支出科目</w:t>
      </w:r>
    </w:p>
    <w:p w14:paraId="28F0CA99">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（一）社会保障和就业支出：反映政府在社会保障与就业方面的支出。</w:t>
      </w:r>
    </w:p>
    <w:p w14:paraId="45529F15">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机关事业单位基本养老保险缴费支出：反映机关事业单位实施养老保险制度由单位缴纳的基本养老保险费支出。</w:t>
      </w:r>
    </w:p>
    <w:p w14:paraId="2DC05400">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（二）卫生健康支出：反映政府医疗卫生与计划生育管理方面的支出。</w:t>
      </w:r>
    </w:p>
    <w:p w14:paraId="740A8486">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行政单位医疗：反映财政部门集中安排的行政单位基本医疗保险缴费经费。</w:t>
      </w:r>
    </w:p>
    <w:p w14:paraId="5CFB565B">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事业单位医疗：反映财政部门集中安排的事业单位基本医疗保险缴费经费。</w:t>
      </w:r>
    </w:p>
    <w:p w14:paraId="5991F0F7">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（三）城乡社区支出：反映政府城乡社区事务支出。</w:t>
      </w:r>
    </w:p>
    <w:p w14:paraId="38C67345">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行政运行：反映行政单位的基本支出。</w:t>
      </w:r>
    </w:p>
    <w:p w14:paraId="11B10A80">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一般行政管理事务：反映行政单位未单独设置项级科目的其他项目支出。</w:t>
      </w:r>
    </w:p>
    <w:p w14:paraId="5F76CBBD">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机关服务：反映为行政单位提供后勤服务的各类后勤服务中心等附属事业单位的支出。</w:t>
      </w:r>
    </w:p>
    <w:p w14:paraId="404D3802">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城管执法:反映城市管理综合行政执法、加强城市市容和环境卫生管理等方面的支出。</w:t>
      </w:r>
    </w:p>
    <w:p w14:paraId="5D5B1488">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工程建设标准规范编制与监管：反映拟定工程建设国家标准和部管行业标准、监督指导和善工程建设标准定额的实施、管理工程造价等方面的支出。</w:t>
      </w:r>
    </w:p>
    <w:p w14:paraId="103FAA61">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其他城乡社区管理事务支出：反映除上述项目以外其他用于城乡社区管理事务方面的支出。</w:t>
      </w:r>
    </w:p>
    <w:p w14:paraId="0A0CC8EF">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城乡社区规划与管理：反映城乡社区、名胜风景区、防灾减灾、历史名城规划制定与管理等方面的支出。</w:t>
      </w:r>
    </w:p>
    <w:p w14:paraId="676CAF9C">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建设市管理与监督：反映各类建筑工程强制性和推荐性标准及规划的制定与修改、建筑工程招投标等市场管理、建筑工程质量与安全监督等方面的支出。</w:t>
      </w:r>
    </w:p>
    <w:p w14:paraId="72A7683C">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其他城市基础设施配套费安排的支出：反映城市其他基础设施配套费安排的支出。</w:t>
      </w:r>
    </w:p>
    <w:p w14:paraId="74B84509">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（四）住房保障支出：集中反映政府用于住房方面的支出。</w:t>
      </w:r>
    </w:p>
    <w:p w14:paraId="219EFE80">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购房补贴：反映按房改政策规定，行政事业单位向符合条件职工、军队向转役复员离退休人员发放的用于购买住房和补贴。</w:t>
      </w:r>
    </w:p>
    <w:p w14:paraId="2FCE320D">
      <w:pPr>
        <w:pStyle w:val="7"/>
        <w:widowControl w:val="0"/>
        <w:shd w:val="clear" w:color="auto" w:fill="FFFFFF"/>
        <w:tabs>
          <w:tab w:val="left" w:pos="6546"/>
        </w:tabs>
        <w:adjustRightInd w:val="0"/>
        <w:spacing w:line="640" w:lineRule="exact"/>
        <w:ind w:firstLine="640" w:firstLineChars="200"/>
        <w:rPr>
          <w:rFonts w:eastAsia="仿宋_GB2312"/>
          <w:sz w:val="32"/>
          <w:szCs w:val="32"/>
        </w:rPr>
      </w:pPr>
      <w:r>
        <w:rPr>
          <w:rFonts w:eastAsia="仿宋_GB2312"/>
          <w:sz w:val="32"/>
          <w:szCs w:val="32"/>
        </w:rPr>
        <w:t>其他城乡社区住宅支出：反映除上述项目以外其他用于城乡社区住宅方面的支出。</w:t>
      </w:r>
    </w:p>
    <w:p w14:paraId="161BA812">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（五）</w:t>
      </w:r>
      <w:r>
        <w:rPr>
          <w:rFonts w:hint="default" w:ascii="Times New Roman" w:hAnsi="Times New Roman" w:eastAsia="仿宋_GB2312" w:cs="Times New Roman"/>
          <w:kern w:val="0"/>
          <w:sz w:val="32"/>
          <w:szCs w:val="32"/>
          <w:lang w:val="en-US" w:eastAsia="zh-CN"/>
        </w:rPr>
        <w:t>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8655F8A">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（六）</w:t>
      </w:r>
      <w:r>
        <w:rPr>
          <w:rFonts w:hint="default" w:ascii="Times New Roman" w:hAnsi="Times New Roman" w:eastAsia="仿宋_GB2312" w:cs="Times New Roman"/>
          <w:kern w:val="0"/>
          <w:sz w:val="32"/>
          <w:szCs w:val="32"/>
          <w:lang w:val="en-US" w:eastAsia="zh-CN"/>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9A70DB">
      <w:pPr>
        <w:pStyle w:val="7"/>
        <w:widowControl w:val="0"/>
        <w:shd w:val="clear" w:color="auto" w:fill="FFFFFF"/>
        <w:tabs>
          <w:tab w:val="left" w:pos="6546"/>
        </w:tabs>
        <w:adjustRightInd w:val="0"/>
        <w:spacing w:line="640" w:lineRule="exact"/>
        <w:ind w:firstLine="640" w:firstLineChars="200"/>
        <w:rPr>
          <w:rFonts w:eastAsia="仿宋_GB2312"/>
          <w:sz w:val="32"/>
          <w:szCs w:val="32"/>
        </w:rPr>
      </w:pPr>
    </w:p>
    <w:p w14:paraId="560BDFD1">
      <w:pPr>
        <w:pStyle w:val="7"/>
        <w:widowControl w:val="0"/>
        <w:shd w:val="clear" w:color="auto" w:fill="FFFFFF"/>
        <w:tabs>
          <w:tab w:val="left" w:pos="6546"/>
        </w:tabs>
        <w:adjustRightInd w:val="0"/>
        <w:spacing w:line="640" w:lineRule="exact"/>
        <w:ind w:firstLine="640" w:firstLineChars="200"/>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lvl>
  </w:abstractNum>
  <w:abstractNum w:abstractNumId="1">
    <w:nsid w:val="D98AC067"/>
    <w:multiLevelType w:val="singleLevel"/>
    <w:tmpl w:val="D98AC067"/>
    <w:lvl w:ilvl="0" w:tentative="0">
      <w:start w:val="2"/>
      <w:numFmt w:val="chineseCounting"/>
      <w:suff w:val="space"/>
      <w:lvlText w:val="第%1部分"/>
      <w:lvlJc w:val="left"/>
      <w:rPr>
        <w:rFonts w:hint="eastAsia"/>
      </w:rPr>
    </w:lvl>
  </w:abstractNum>
  <w:num w:numId="1">
    <w:abstractNumId w:val="0"/>
    <w:lvlOverride w:ilvl="0">
      <w:startOverride w:val="8"/>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E1A1401"/>
    <w:rsid w:val="001D4308"/>
    <w:rsid w:val="0038540D"/>
    <w:rsid w:val="007B3CE9"/>
    <w:rsid w:val="00847127"/>
    <w:rsid w:val="00905395"/>
    <w:rsid w:val="009A5B99"/>
    <w:rsid w:val="00D90522"/>
    <w:rsid w:val="00D90798"/>
    <w:rsid w:val="01771285"/>
    <w:rsid w:val="018F1444"/>
    <w:rsid w:val="01C60F21"/>
    <w:rsid w:val="01D239B3"/>
    <w:rsid w:val="01ED7D4F"/>
    <w:rsid w:val="03024C8E"/>
    <w:rsid w:val="032621EF"/>
    <w:rsid w:val="033001EE"/>
    <w:rsid w:val="04D37AC1"/>
    <w:rsid w:val="05836D6A"/>
    <w:rsid w:val="06697151"/>
    <w:rsid w:val="07B63F22"/>
    <w:rsid w:val="08B057CF"/>
    <w:rsid w:val="09F8219B"/>
    <w:rsid w:val="0A461262"/>
    <w:rsid w:val="0BEF1694"/>
    <w:rsid w:val="0BF10D4F"/>
    <w:rsid w:val="0C0E75F2"/>
    <w:rsid w:val="0DEC665C"/>
    <w:rsid w:val="0F28154E"/>
    <w:rsid w:val="0F301567"/>
    <w:rsid w:val="0FAD0AB9"/>
    <w:rsid w:val="10095B30"/>
    <w:rsid w:val="111F7B24"/>
    <w:rsid w:val="113115BF"/>
    <w:rsid w:val="119952E6"/>
    <w:rsid w:val="123F7306"/>
    <w:rsid w:val="133A1743"/>
    <w:rsid w:val="13E76849"/>
    <w:rsid w:val="157664E2"/>
    <w:rsid w:val="166D679E"/>
    <w:rsid w:val="16965502"/>
    <w:rsid w:val="169A50FA"/>
    <w:rsid w:val="17EA0235"/>
    <w:rsid w:val="18015012"/>
    <w:rsid w:val="18450AD1"/>
    <w:rsid w:val="190B510A"/>
    <w:rsid w:val="19160B8F"/>
    <w:rsid w:val="193023F6"/>
    <w:rsid w:val="19E554EE"/>
    <w:rsid w:val="1B22415E"/>
    <w:rsid w:val="1B3A36D3"/>
    <w:rsid w:val="1C2A0157"/>
    <w:rsid w:val="1D252C1D"/>
    <w:rsid w:val="22B049DF"/>
    <w:rsid w:val="23E11B11"/>
    <w:rsid w:val="2446122B"/>
    <w:rsid w:val="24EE7B07"/>
    <w:rsid w:val="250F384B"/>
    <w:rsid w:val="2559146E"/>
    <w:rsid w:val="257351D6"/>
    <w:rsid w:val="258D589A"/>
    <w:rsid w:val="262A4F7A"/>
    <w:rsid w:val="26561696"/>
    <w:rsid w:val="265E51B1"/>
    <w:rsid w:val="26CB7E3E"/>
    <w:rsid w:val="27684E24"/>
    <w:rsid w:val="27BE3D1C"/>
    <w:rsid w:val="281C3589"/>
    <w:rsid w:val="282F7945"/>
    <w:rsid w:val="29AE46CD"/>
    <w:rsid w:val="2A4A77FA"/>
    <w:rsid w:val="2C042624"/>
    <w:rsid w:val="2C866527"/>
    <w:rsid w:val="2E8009B5"/>
    <w:rsid w:val="2F6E59B5"/>
    <w:rsid w:val="2F80684E"/>
    <w:rsid w:val="2FA97EA0"/>
    <w:rsid w:val="301B6F54"/>
    <w:rsid w:val="321D10B9"/>
    <w:rsid w:val="3225767D"/>
    <w:rsid w:val="32E63B72"/>
    <w:rsid w:val="332C17C6"/>
    <w:rsid w:val="339D78A6"/>
    <w:rsid w:val="33A9698F"/>
    <w:rsid w:val="35497537"/>
    <w:rsid w:val="36AD38C7"/>
    <w:rsid w:val="377D0D96"/>
    <w:rsid w:val="37B12BC8"/>
    <w:rsid w:val="37EC2ED6"/>
    <w:rsid w:val="3AA2572B"/>
    <w:rsid w:val="3DB83C6B"/>
    <w:rsid w:val="3E63678D"/>
    <w:rsid w:val="3EBD5ABA"/>
    <w:rsid w:val="3F0331E3"/>
    <w:rsid w:val="3F0F7E35"/>
    <w:rsid w:val="3F8D7FF4"/>
    <w:rsid w:val="3FF7940F"/>
    <w:rsid w:val="40492711"/>
    <w:rsid w:val="408C4BEF"/>
    <w:rsid w:val="41005B93"/>
    <w:rsid w:val="411A4462"/>
    <w:rsid w:val="41A90A43"/>
    <w:rsid w:val="42445240"/>
    <w:rsid w:val="424A2C5D"/>
    <w:rsid w:val="42F22E45"/>
    <w:rsid w:val="43FF3EED"/>
    <w:rsid w:val="45A4473B"/>
    <w:rsid w:val="45AE1D10"/>
    <w:rsid w:val="466674C0"/>
    <w:rsid w:val="468D435A"/>
    <w:rsid w:val="46D8346D"/>
    <w:rsid w:val="47546B9E"/>
    <w:rsid w:val="486E2EAB"/>
    <w:rsid w:val="487846A6"/>
    <w:rsid w:val="488E4175"/>
    <w:rsid w:val="48C92FE0"/>
    <w:rsid w:val="49650F3D"/>
    <w:rsid w:val="49703146"/>
    <w:rsid w:val="4A0C4209"/>
    <w:rsid w:val="4B4B3D36"/>
    <w:rsid w:val="4C224A48"/>
    <w:rsid w:val="4C816F1E"/>
    <w:rsid w:val="4CBD3E09"/>
    <w:rsid w:val="4CCF2A3F"/>
    <w:rsid w:val="4DCE119E"/>
    <w:rsid w:val="4DD44DFB"/>
    <w:rsid w:val="4E864273"/>
    <w:rsid w:val="4F1F6B36"/>
    <w:rsid w:val="4F367890"/>
    <w:rsid w:val="4F4A0DF0"/>
    <w:rsid w:val="4FB4073A"/>
    <w:rsid w:val="505A4842"/>
    <w:rsid w:val="51B43622"/>
    <w:rsid w:val="51C47E95"/>
    <w:rsid w:val="51DD75D9"/>
    <w:rsid w:val="537BC27C"/>
    <w:rsid w:val="53B16F4F"/>
    <w:rsid w:val="55660268"/>
    <w:rsid w:val="55E83607"/>
    <w:rsid w:val="55EF418C"/>
    <w:rsid w:val="56E47EE4"/>
    <w:rsid w:val="589B668A"/>
    <w:rsid w:val="58CD6622"/>
    <w:rsid w:val="58D3648B"/>
    <w:rsid w:val="59931625"/>
    <w:rsid w:val="59BB195B"/>
    <w:rsid w:val="59CF746F"/>
    <w:rsid w:val="59D60FA8"/>
    <w:rsid w:val="59DE1BFD"/>
    <w:rsid w:val="5A4E0895"/>
    <w:rsid w:val="5A6146C1"/>
    <w:rsid w:val="5C7B2EB4"/>
    <w:rsid w:val="5CAE63A6"/>
    <w:rsid w:val="5D153B02"/>
    <w:rsid w:val="5D4E3941"/>
    <w:rsid w:val="5D5535DC"/>
    <w:rsid w:val="5D7E79F3"/>
    <w:rsid w:val="5E1A1401"/>
    <w:rsid w:val="602107CD"/>
    <w:rsid w:val="6063597D"/>
    <w:rsid w:val="612A3BC9"/>
    <w:rsid w:val="61C84090"/>
    <w:rsid w:val="61E80A4E"/>
    <w:rsid w:val="62FB6A0F"/>
    <w:rsid w:val="63147328"/>
    <w:rsid w:val="6380592A"/>
    <w:rsid w:val="64BA317B"/>
    <w:rsid w:val="658B7EAF"/>
    <w:rsid w:val="68F33261"/>
    <w:rsid w:val="69987480"/>
    <w:rsid w:val="6AAA53E7"/>
    <w:rsid w:val="6CA9456D"/>
    <w:rsid w:val="6D68216E"/>
    <w:rsid w:val="6E053419"/>
    <w:rsid w:val="6E803433"/>
    <w:rsid w:val="6F2B4C91"/>
    <w:rsid w:val="6FAE0B2F"/>
    <w:rsid w:val="6FD37227"/>
    <w:rsid w:val="71312F9A"/>
    <w:rsid w:val="72192A36"/>
    <w:rsid w:val="73933678"/>
    <w:rsid w:val="749C7891"/>
    <w:rsid w:val="758E227A"/>
    <w:rsid w:val="763B72FB"/>
    <w:rsid w:val="76417DA9"/>
    <w:rsid w:val="76424C47"/>
    <w:rsid w:val="7680377D"/>
    <w:rsid w:val="768B1029"/>
    <w:rsid w:val="76F07857"/>
    <w:rsid w:val="7714349E"/>
    <w:rsid w:val="775F8392"/>
    <w:rsid w:val="77D8247D"/>
    <w:rsid w:val="780B1D01"/>
    <w:rsid w:val="78752A18"/>
    <w:rsid w:val="7B171753"/>
    <w:rsid w:val="7B7055A6"/>
    <w:rsid w:val="7C960C99"/>
    <w:rsid w:val="7CD60EB9"/>
    <w:rsid w:val="7D7A3A18"/>
    <w:rsid w:val="7DB9699D"/>
    <w:rsid w:val="7E056997"/>
    <w:rsid w:val="7F3D68F5"/>
    <w:rsid w:val="7FFA76CF"/>
    <w:rsid w:val="7FFF46EF"/>
    <w:rsid w:val="BFCF100E"/>
    <w:rsid w:val="DF3FCCD2"/>
    <w:rsid w:val="FD5472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qFormat/>
    <w:uiPriority w:val="0"/>
    <w:pPr>
      <w:widowControl/>
    </w:pPr>
    <w:rPr>
      <w:kern w:val="0"/>
      <w:szCs w:val="21"/>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4398</Words>
  <Characters>4731</Characters>
  <Lines>28</Lines>
  <Paragraphs>8</Paragraphs>
  <TotalTime>1</TotalTime>
  <ScaleCrop>false</ScaleCrop>
  <LinksUpToDate>false</LinksUpToDate>
  <CharactersWithSpaces>4822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2021-10-08T18:19:00Z</dcterms:created>
  <dc:creator>罗俊辉</dc:creator>
  <cp:lastModifiedBy>hzj</cp:lastModifiedBy>
  <dcterms:modified xsi:type="dcterms:W3CDTF">2025-10-17T08:31:43Z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D5560B9A3FDF40FBBB64A722D2FCA2BC</vt:lpwstr>
  </property>
  <property fmtid="{D5CDD505-2E9C-101B-9397-08002B2CF9AE}" pid="4" name="KSOTemplateDocerSaveRecord">
    <vt:lpwstr>eyJoZGlkIjoiN2IxMTNhOTYxNjE0NmQ2ZDdlMWRiNjc4MGNkMjcxMTQiLCJ1c2VySWQiOiI0MTQzNTQxODYifQ==</vt:lpwstr>
  </property>
</Properties>
</file>