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015BF">
      <w:pPr>
        <w:spacing w:line="560" w:lineRule="exact"/>
        <w:jc w:val="center"/>
        <w:rPr>
          <w:rFonts w:ascii="宋体" w:hAnsi="宋体"/>
          <w:b/>
          <w:bCs/>
          <w:color w:val="auto"/>
          <w:spacing w:val="-4"/>
          <w:sz w:val="44"/>
          <w:szCs w:val="44"/>
        </w:rPr>
      </w:pPr>
      <w:r>
        <w:rPr>
          <w:rFonts w:hint="eastAsia" w:ascii="宋体" w:hAnsi="宋体"/>
          <w:b/>
          <w:bCs/>
          <w:color w:val="auto"/>
          <w:spacing w:val="-4"/>
          <w:sz w:val="44"/>
          <w:szCs w:val="44"/>
        </w:rPr>
        <w:t>景德镇市存量房交易资金监管实施细则</w:t>
      </w:r>
    </w:p>
    <w:p w14:paraId="363541E1">
      <w:pPr>
        <w:topLinePunct/>
        <w:spacing w:line="560" w:lineRule="exact"/>
        <w:ind w:firstLine="640" w:firstLineChars="200"/>
        <w:rPr>
          <w:rFonts w:hint="eastAsia" w:ascii="黑体" w:hAnsi="黑体" w:eastAsia="黑体" w:cs="黑体"/>
          <w:bCs/>
          <w:color w:val="auto"/>
          <w:kern w:val="0"/>
          <w:sz w:val="32"/>
          <w:szCs w:val="32"/>
          <w:shd w:val="clear" w:color="auto" w:fill="FFFFFF"/>
          <w:lang w:eastAsia="zh-CN"/>
        </w:rPr>
      </w:pPr>
      <w:r>
        <w:rPr>
          <w:rFonts w:hint="eastAsia" w:ascii="楷体" w:hAnsi="楷体" w:eastAsia="楷体" w:cs="楷体"/>
          <w:color w:val="auto"/>
          <w:kern w:val="0"/>
          <w:sz w:val="32"/>
          <w:szCs w:val="32"/>
          <w:shd w:val="clear" w:color="auto" w:fill="FFFFFF"/>
          <w:lang w:val="en-US" w:eastAsia="zh-CN"/>
        </w:rPr>
        <w:t xml:space="preserve"> </w:t>
      </w:r>
    </w:p>
    <w:p w14:paraId="5F35174C">
      <w:pPr>
        <w:topLinePunct/>
        <w:spacing w:line="560" w:lineRule="exact"/>
        <w:ind w:firstLine="640" w:firstLineChars="200"/>
        <w:rPr>
          <w:rFonts w:ascii="仿宋" w:hAnsi="仿宋" w:eastAsia="仿宋" w:cs="仿宋"/>
          <w:color w:val="auto"/>
          <w:kern w:val="0"/>
          <w:sz w:val="32"/>
          <w:szCs w:val="32"/>
          <w:shd w:val="clear" w:color="auto" w:fill="FFFFFF"/>
        </w:rPr>
      </w:pPr>
      <w:r>
        <w:rPr>
          <w:rFonts w:hint="eastAsia" w:ascii="黑体" w:hAnsi="黑体" w:eastAsia="黑体" w:cs="黑体"/>
          <w:bCs/>
          <w:color w:val="auto"/>
          <w:kern w:val="0"/>
          <w:sz w:val="32"/>
          <w:szCs w:val="32"/>
          <w:shd w:val="clear" w:color="auto" w:fill="FFFFFF"/>
        </w:rPr>
        <w:t>第一条</w:t>
      </w:r>
      <w:r>
        <w:rPr>
          <w:rFonts w:hint="eastAsia" w:ascii="仿宋" w:hAnsi="仿宋" w:eastAsia="仿宋" w:cs="仿宋"/>
          <w:b/>
          <w:color w:val="auto"/>
          <w:kern w:val="0"/>
          <w:sz w:val="32"/>
          <w:szCs w:val="32"/>
          <w:shd w:val="clear" w:color="auto" w:fill="FFFFFF"/>
        </w:rPr>
        <w:t xml:space="preserve"> </w:t>
      </w:r>
      <w:r>
        <w:rPr>
          <w:rFonts w:hint="eastAsia" w:ascii="仿宋" w:hAnsi="仿宋" w:eastAsia="仿宋" w:cs="仿宋"/>
          <w:color w:val="auto"/>
          <w:kern w:val="0"/>
          <w:sz w:val="32"/>
          <w:szCs w:val="32"/>
          <w:shd w:val="clear" w:color="auto" w:fill="FFFFFF"/>
        </w:rPr>
        <w:t xml:space="preserve"> 根据景德镇市人民政府办公室《关于印发</w:t>
      </w:r>
      <w:r>
        <w:rPr>
          <w:rFonts w:hint="eastAsia" w:ascii="仿宋" w:hAnsi="仿宋" w:eastAsia="仿宋" w:cs="仿宋"/>
          <w:color w:val="auto"/>
          <w:spacing w:val="-4"/>
          <w:sz w:val="32"/>
          <w:szCs w:val="32"/>
        </w:rPr>
        <w:t>景德镇市存量房交易资金监管办法</w:t>
      </w:r>
      <w:r>
        <w:rPr>
          <w:rFonts w:hint="eastAsia" w:ascii="仿宋" w:hAnsi="仿宋" w:eastAsia="仿宋" w:cs="仿宋"/>
          <w:color w:val="auto"/>
          <w:kern w:val="0"/>
          <w:sz w:val="32"/>
          <w:szCs w:val="32"/>
          <w:shd w:val="clear" w:color="auto" w:fill="FFFFFF"/>
        </w:rPr>
        <w:t>》（景府办字[2020]24号）等文件规定，结合实际，制定本实施细则。</w:t>
      </w:r>
      <w:bookmarkStart w:id="0" w:name="_GoBack"/>
      <w:bookmarkEnd w:id="0"/>
    </w:p>
    <w:p w14:paraId="05A81F87">
      <w:pPr>
        <w:spacing w:line="560" w:lineRule="exact"/>
        <w:ind w:firstLine="640" w:firstLineChars="200"/>
        <w:rPr>
          <w:rFonts w:ascii="仿宋" w:hAnsi="仿宋" w:eastAsia="仿宋_GB2312" w:cs="仿宋"/>
          <w:color w:val="auto"/>
          <w:sz w:val="32"/>
          <w:szCs w:val="32"/>
        </w:rPr>
      </w:pPr>
      <w:r>
        <w:rPr>
          <w:rFonts w:hint="eastAsia" w:ascii="黑体" w:hAnsi="黑体" w:eastAsia="黑体" w:cs="黑体"/>
          <w:bCs/>
          <w:color w:val="auto"/>
          <w:kern w:val="0"/>
          <w:sz w:val="32"/>
          <w:szCs w:val="32"/>
          <w:shd w:val="clear" w:color="auto" w:fill="FFFFFF"/>
        </w:rPr>
        <w:t xml:space="preserve">第二条  </w:t>
      </w:r>
      <w:r>
        <w:rPr>
          <w:rFonts w:hint="eastAsia" w:ascii="仿宋" w:hAnsi="仿宋" w:eastAsia="仿宋" w:cs="仿宋"/>
          <w:bCs/>
          <w:color w:val="auto"/>
          <w:kern w:val="0"/>
          <w:sz w:val="32"/>
          <w:szCs w:val="32"/>
          <w:shd w:val="clear" w:color="auto" w:fill="FFFFFF"/>
        </w:rPr>
        <w:t>本</w:t>
      </w:r>
      <w:r>
        <w:rPr>
          <w:rFonts w:hint="eastAsia" w:ascii="仿宋" w:hAnsi="仿宋" w:eastAsia="仿宋" w:cs="仿宋"/>
          <w:bCs/>
          <w:color w:val="auto"/>
          <w:sz w:val="32"/>
          <w:szCs w:val="32"/>
          <w:shd w:val="clear" w:color="auto" w:fill="FFFFFF"/>
        </w:rPr>
        <w:t>市</w:t>
      </w:r>
      <w:r>
        <w:rPr>
          <w:rFonts w:hint="eastAsia" w:ascii="仿宋_GB2312" w:hAnsi="仿宋_GB2312" w:eastAsia="仿宋_GB2312" w:cs="仿宋_GB2312"/>
          <w:color w:val="auto"/>
          <w:sz w:val="32"/>
          <w:szCs w:val="32"/>
          <w:shd w:val="clear" w:color="auto" w:fill="FFFFFF"/>
        </w:rPr>
        <w:t>中心城区存量房</w:t>
      </w:r>
      <w:r>
        <w:rPr>
          <w:rFonts w:hint="eastAsia" w:ascii="仿宋" w:hAnsi="仿宋" w:eastAsia="仿宋" w:cs="仿宋"/>
          <w:color w:val="auto"/>
          <w:sz w:val="32"/>
          <w:szCs w:val="32"/>
        </w:rPr>
        <w:t>交易资金监管</w:t>
      </w:r>
      <w:r>
        <w:rPr>
          <w:rFonts w:hint="eastAsia" w:ascii="仿宋_GB2312" w:hAnsi="仿宋_GB2312" w:eastAsia="仿宋_GB2312" w:cs="仿宋_GB2312"/>
          <w:color w:val="auto"/>
          <w:sz w:val="32"/>
          <w:szCs w:val="32"/>
          <w:shd w:val="clear" w:color="auto" w:fill="FFFFFF"/>
        </w:rPr>
        <w:t>适用本实施</w:t>
      </w:r>
      <w:r>
        <w:rPr>
          <w:rFonts w:hint="eastAsia" w:ascii="仿宋" w:hAnsi="仿宋" w:eastAsia="仿宋" w:cs="仿宋"/>
          <w:color w:val="auto"/>
          <w:kern w:val="0"/>
          <w:sz w:val="32"/>
          <w:szCs w:val="32"/>
          <w:shd w:val="clear" w:color="auto" w:fill="FFFFFF"/>
        </w:rPr>
        <w:t>细则</w:t>
      </w:r>
      <w:r>
        <w:rPr>
          <w:rFonts w:hint="eastAsia" w:ascii="仿宋_GB2312" w:hAnsi="仿宋_GB2312" w:eastAsia="仿宋_GB2312" w:cs="仿宋_GB2312"/>
          <w:color w:val="auto"/>
          <w:sz w:val="32"/>
          <w:szCs w:val="32"/>
          <w:shd w:val="clear" w:color="auto" w:fill="FFFFFF"/>
        </w:rPr>
        <w:t>。</w:t>
      </w:r>
      <w:r>
        <w:rPr>
          <w:rFonts w:hint="eastAsia" w:ascii="仿宋" w:hAnsi="仿宋" w:eastAsia="仿宋" w:cs="仿宋"/>
          <w:color w:val="auto"/>
          <w:sz w:val="32"/>
          <w:szCs w:val="32"/>
        </w:rPr>
        <w:t xml:space="preserve"> </w:t>
      </w:r>
    </w:p>
    <w:p w14:paraId="21BD4A6E">
      <w:pPr>
        <w:topLinePunct/>
        <w:spacing w:line="560" w:lineRule="exact"/>
        <w:ind w:firstLine="640" w:firstLineChars="200"/>
        <w:rPr>
          <w:rFonts w:ascii="仿宋" w:hAnsi="仿宋" w:eastAsia="仿宋" w:cs="仿宋"/>
          <w:color w:val="auto"/>
          <w:kern w:val="0"/>
          <w:sz w:val="32"/>
          <w:szCs w:val="32"/>
          <w:shd w:val="clear" w:color="auto" w:fill="FFFFFF"/>
        </w:rPr>
      </w:pPr>
      <w:r>
        <w:rPr>
          <w:rFonts w:hint="eastAsia" w:ascii="黑体" w:hAnsi="黑体" w:eastAsia="黑体" w:cs="黑体"/>
          <w:bCs/>
          <w:color w:val="auto"/>
          <w:kern w:val="0"/>
          <w:sz w:val="32"/>
          <w:szCs w:val="32"/>
          <w:shd w:val="clear" w:color="auto" w:fill="FFFFFF"/>
        </w:rPr>
        <w:t xml:space="preserve">第三条  </w:t>
      </w:r>
      <w:r>
        <w:rPr>
          <w:rFonts w:hint="eastAsia" w:ascii="仿宋" w:hAnsi="仿宋" w:eastAsia="仿宋" w:cs="仿宋"/>
          <w:color w:val="auto"/>
          <w:kern w:val="0"/>
          <w:sz w:val="32"/>
          <w:szCs w:val="32"/>
          <w:shd w:val="clear" w:color="auto" w:fill="FFFFFF"/>
        </w:rPr>
        <w:t>市住房和城乡建设局所属的景德镇市房信易居科技发展有限公司为</w:t>
      </w:r>
      <w:r>
        <w:rPr>
          <w:rFonts w:hint="eastAsia" w:ascii="仿宋_GB2312" w:hAnsi="仿宋_GB2312" w:eastAsia="仿宋_GB2312" w:cs="仿宋_GB2312"/>
          <w:color w:val="auto"/>
          <w:sz w:val="32"/>
          <w:szCs w:val="32"/>
          <w:shd w:val="clear" w:color="auto" w:fill="FFFFFF"/>
        </w:rPr>
        <w:t>存量房</w:t>
      </w:r>
      <w:r>
        <w:rPr>
          <w:rFonts w:hint="eastAsia" w:ascii="仿宋" w:hAnsi="仿宋" w:eastAsia="仿宋" w:cs="仿宋"/>
          <w:color w:val="auto"/>
          <w:sz w:val="32"/>
          <w:szCs w:val="32"/>
        </w:rPr>
        <w:t>交易资金</w:t>
      </w:r>
      <w:r>
        <w:rPr>
          <w:rFonts w:hint="eastAsia" w:ascii="仿宋" w:hAnsi="仿宋" w:eastAsia="仿宋" w:cs="仿宋"/>
          <w:color w:val="auto"/>
          <w:kern w:val="0"/>
          <w:sz w:val="32"/>
          <w:szCs w:val="32"/>
          <w:shd w:val="clear" w:color="auto" w:fill="FFFFFF"/>
        </w:rPr>
        <w:t xml:space="preserve">监管的实施机构（以下简称“实施机构”），负责本市中心城区存量房交易资金监管工作的具体实施和相关服务工作。    </w:t>
      </w:r>
    </w:p>
    <w:p w14:paraId="189FC6B9">
      <w:pPr>
        <w:spacing w:line="560" w:lineRule="exact"/>
        <w:ind w:firstLine="640" w:firstLineChars="200"/>
        <w:rPr>
          <w:rFonts w:ascii="仿宋" w:hAnsi="仿宋" w:eastAsia="仿宋" w:cs="仿宋"/>
          <w:color w:val="auto"/>
          <w:sz w:val="32"/>
          <w:szCs w:val="32"/>
        </w:rPr>
      </w:pPr>
      <w:r>
        <w:rPr>
          <w:rFonts w:hint="eastAsia" w:ascii="黑体" w:hAnsi="黑体" w:eastAsia="黑体" w:cs="黑体"/>
          <w:bCs/>
          <w:color w:val="auto"/>
          <w:kern w:val="0"/>
          <w:sz w:val="32"/>
          <w:szCs w:val="32"/>
          <w:shd w:val="clear" w:color="auto" w:fill="FFFFFF"/>
        </w:rPr>
        <w:t xml:space="preserve">第四条  </w:t>
      </w:r>
      <w:r>
        <w:rPr>
          <w:rFonts w:hint="eastAsia" w:ascii="仿宋" w:hAnsi="仿宋" w:eastAsia="仿宋" w:cs="仿宋"/>
          <w:color w:val="auto"/>
          <w:sz w:val="32"/>
          <w:szCs w:val="32"/>
        </w:rPr>
        <w:t>由房地产经纪机构撮合成交及自行成交的存量房交易，交易当事人应充分了解交易风险和交易资金监管内容。除可不纳入监管情形外，交易当事人办理存量房买卖合同网签时应签订交易资金监管三方协议。</w:t>
      </w:r>
    </w:p>
    <w:p w14:paraId="795A19EA">
      <w:pPr>
        <w:spacing w:line="560" w:lineRule="exact"/>
        <w:ind w:firstLine="640" w:firstLineChars="200"/>
        <w:rPr>
          <w:rFonts w:ascii="仿宋" w:hAnsi="仿宋" w:eastAsia="仿宋" w:cs="仿宋"/>
          <w:color w:val="auto"/>
          <w:sz w:val="32"/>
          <w:szCs w:val="32"/>
        </w:rPr>
      </w:pPr>
      <w:r>
        <w:rPr>
          <w:rFonts w:hint="eastAsia" w:ascii="黑体" w:hAnsi="黑体" w:eastAsia="黑体" w:cs="黑体"/>
          <w:bCs/>
          <w:color w:val="auto"/>
          <w:kern w:val="0"/>
          <w:sz w:val="32"/>
          <w:szCs w:val="32"/>
          <w:shd w:val="clear" w:color="auto" w:fill="FFFFFF"/>
        </w:rPr>
        <w:t xml:space="preserve">第五条  </w:t>
      </w:r>
      <w:r>
        <w:rPr>
          <w:rFonts w:hint="eastAsia" w:ascii="仿宋" w:hAnsi="仿宋" w:eastAsia="仿宋" w:cs="仿宋"/>
          <w:color w:val="auto"/>
          <w:sz w:val="32"/>
          <w:szCs w:val="32"/>
        </w:rPr>
        <w:t>房地产经纪机构及其从业人员在提供存量房交易服务时，应充分告知当事人关于存量房交易资金监管的相关内容，协助当事人与实施机构签订资金监管三方协议。不得直接或间接代收代管存量房交易资金，所有资金交由监管银行管理，撮合成交的佣金也纳入资金监管范围。</w:t>
      </w:r>
    </w:p>
    <w:p w14:paraId="58BBFBCF">
      <w:pPr>
        <w:spacing w:line="560" w:lineRule="exact"/>
        <w:ind w:firstLine="641"/>
        <w:rPr>
          <w:rFonts w:ascii="仿宋_GB2312" w:hAnsi="仿宋_GB2312" w:eastAsia="仿宋_GB2312" w:cs="仿宋_GB2312"/>
          <w:color w:val="auto"/>
          <w:sz w:val="32"/>
          <w:szCs w:val="32"/>
          <w:shd w:val="clear" w:color="auto" w:fill="FFFFFF"/>
        </w:rPr>
      </w:pPr>
      <w:r>
        <w:rPr>
          <w:rFonts w:hint="eastAsia" w:ascii="黑体" w:hAnsi="黑体" w:eastAsia="黑体" w:cs="黑体"/>
          <w:bCs/>
          <w:color w:val="auto"/>
          <w:kern w:val="0"/>
          <w:sz w:val="32"/>
          <w:szCs w:val="32"/>
          <w:shd w:val="clear" w:color="auto" w:fill="FFFFFF"/>
        </w:rPr>
        <w:t xml:space="preserve">第六条  </w:t>
      </w:r>
      <w:r>
        <w:rPr>
          <w:rFonts w:hint="eastAsia" w:ascii="仿宋_GB2312" w:hAnsi="仿宋_GB2312" w:eastAsia="仿宋_GB2312" w:cs="仿宋_GB2312"/>
          <w:color w:val="auto"/>
          <w:sz w:val="32"/>
          <w:szCs w:val="32"/>
          <w:shd w:val="clear" w:color="auto" w:fill="FFFFFF"/>
        </w:rPr>
        <w:t>实施机构选择具备相应条件的商业银行，报主管部门备案同意后，与其签订存量房交易资金监管金融服务协议。</w:t>
      </w:r>
    </w:p>
    <w:p w14:paraId="311F1E5E">
      <w:pPr>
        <w:spacing w:line="560" w:lineRule="exact"/>
        <w:ind w:firstLine="640" w:firstLineChars="200"/>
        <w:rPr>
          <w:rFonts w:ascii="仿宋" w:hAnsi="仿宋" w:eastAsia="仿宋" w:cs="仿宋"/>
          <w:color w:val="auto"/>
          <w:sz w:val="32"/>
          <w:szCs w:val="32"/>
        </w:rPr>
      </w:pPr>
      <w:r>
        <w:rPr>
          <w:rFonts w:hint="eastAsia" w:ascii="黑体" w:hAnsi="黑体" w:eastAsia="黑体" w:cs="黑体"/>
          <w:bCs/>
          <w:color w:val="auto"/>
          <w:kern w:val="0"/>
          <w:sz w:val="32"/>
          <w:szCs w:val="32"/>
          <w:shd w:val="clear" w:color="auto" w:fill="FFFFFF"/>
        </w:rPr>
        <w:t xml:space="preserve">第七条  </w:t>
      </w:r>
      <w:r>
        <w:rPr>
          <w:rFonts w:hint="eastAsia" w:ascii="仿宋" w:hAnsi="仿宋" w:eastAsia="仿宋" w:cs="仿宋"/>
          <w:color w:val="auto"/>
          <w:sz w:val="32"/>
          <w:szCs w:val="32"/>
        </w:rPr>
        <w:t>交易双方当事人应在实施机构监管账户（实施机构在各监管银行设立的存量房交易结算资金监管账户）下设个人结算子账户，作为交易结算资金监管账户。监管银行应对账户资金进行冻结管理，资金的缴存和划转均通过该账户进行。监管银行应严格按照交易资金监管三方协议及实施机构资金划转通知，即时划转交易资金。</w:t>
      </w:r>
    </w:p>
    <w:p w14:paraId="022753FF">
      <w:pPr>
        <w:spacing w:line="560" w:lineRule="exact"/>
        <w:ind w:firstLine="640" w:firstLineChars="200"/>
        <w:rPr>
          <w:rFonts w:ascii="仿宋" w:hAnsi="仿宋" w:eastAsia="仿宋" w:cs="仿宋"/>
          <w:color w:val="auto"/>
          <w:sz w:val="32"/>
          <w:szCs w:val="32"/>
        </w:rPr>
      </w:pPr>
      <w:r>
        <w:rPr>
          <w:rFonts w:hint="eastAsia" w:ascii="黑体" w:hAnsi="黑体" w:eastAsia="黑体" w:cs="黑体"/>
          <w:bCs/>
          <w:color w:val="auto"/>
          <w:kern w:val="0"/>
          <w:sz w:val="32"/>
          <w:szCs w:val="32"/>
          <w:shd w:val="clear" w:color="auto" w:fill="FFFFFF"/>
        </w:rPr>
        <w:t xml:space="preserve">第八条  </w:t>
      </w:r>
      <w:r>
        <w:rPr>
          <w:rFonts w:hint="eastAsia" w:ascii="仿宋" w:hAnsi="仿宋" w:eastAsia="仿宋" w:cs="仿宋"/>
          <w:color w:val="auto"/>
          <w:sz w:val="32"/>
          <w:szCs w:val="32"/>
        </w:rPr>
        <w:t>交易双方当事人约定以资金监管方式进行交割房款，应在行政服务中心不动产登记综合受理窗口办理存量房买卖合同网签时予以明确，并与实施机构签订交易资金监管三方协议，对交易基本情况、交易结算资金监管范围和额度、监管账户开设、监管期限、资金到账时间、利息、资金划转以及交易事项终止或协议终止时的资金划转、实施机构及交易双方当事人责任、违约责任等内容作出具体约定。</w:t>
      </w:r>
    </w:p>
    <w:p w14:paraId="0055B28E">
      <w:pPr>
        <w:shd w:val="solid" w:color="FFFFFF" w:fill="auto"/>
        <w:topLinePunct/>
        <w:autoSpaceDN w:val="0"/>
        <w:spacing w:line="560" w:lineRule="exact"/>
        <w:ind w:firstLine="640" w:firstLineChars="200"/>
        <w:rPr>
          <w:rFonts w:ascii="仿宋" w:hAnsi="仿宋" w:eastAsia="仿宋" w:cs="仿宋"/>
          <w:color w:val="auto"/>
          <w:sz w:val="32"/>
          <w:szCs w:val="32"/>
        </w:rPr>
      </w:pPr>
      <w:r>
        <w:rPr>
          <w:rFonts w:hint="eastAsia" w:ascii="黑体" w:hAnsi="黑体" w:eastAsia="黑体" w:cs="黑体"/>
          <w:bCs/>
          <w:color w:val="auto"/>
          <w:kern w:val="0"/>
          <w:sz w:val="32"/>
          <w:szCs w:val="32"/>
          <w:shd w:val="clear" w:color="auto" w:fill="FFFFFF"/>
        </w:rPr>
        <w:t xml:space="preserve">第九条  </w:t>
      </w:r>
      <w:r>
        <w:rPr>
          <w:rFonts w:hint="eastAsia" w:ascii="仿宋" w:hAnsi="仿宋" w:eastAsia="仿宋" w:cs="仿宋"/>
          <w:color w:val="auto"/>
          <w:kern w:val="0"/>
          <w:sz w:val="32"/>
          <w:szCs w:val="32"/>
          <w:shd w:val="clear" w:color="auto" w:fill="FFFFFF"/>
        </w:rPr>
        <w:t>存量房资金监管办理要件：《不动产权证》或《房屋所有权证》原件；交易双方身份证、户口本、婚姻证明原件；交易双方的银行借记卡及复印件。</w:t>
      </w:r>
    </w:p>
    <w:p w14:paraId="014239F2">
      <w:pPr>
        <w:spacing w:line="560" w:lineRule="exact"/>
        <w:ind w:firstLine="641"/>
        <w:rPr>
          <w:rFonts w:ascii="仿宋" w:hAnsi="仿宋" w:eastAsia="仿宋" w:cs="仿宋"/>
          <w:color w:val="auto"/>
          <w:kern w:val="0"/>
          <w:sz w:val="32"/>
          <w:szCs w:val="32"/>
          <w:shd w:val="clear" w:color="auto" w:fill="FFFFFF"/>
        </w:rPr>
      </w:pPr>
      <w:r>
        <w:rPr>
          <w:rFonts w:hint="eastAsia" w:ascii="黑体" w:hAnsi="黑体" w:eastAsia="黑体" w:cs="黑体"/>
          <w:bCs/>
          <w:color w:val="auto"/>
          <w:kern w:val="0"/>
          <w:sz w:val="32"/>
          <w:szCs w:val="32"/>
          <w:shd w:val="clear" w:color="auto" w:fill="FFFFFF"/>
        </w:rPr>
        <w:t>第十条</w:t>
      </w:r>
      <w:r>
        <w:rPr>
          <w:rFonts w:hint="eastAsia" w:ascii="仿宋" w:hAnsi="仿宋" w:eastAsia="仿宋" w:cs="仿宋"/>
          <w:color w:val="auto"/>
          <w:sz w:val="32"/>
          <w:szCs w:val="32"/>
        </w:rPr>
        <w:t xml:space="preserve">  </w:t>
      </w:r>
      <w:r>
        <w:rPr>
          <w:rFonts w:hint="eastAsia" w:ascii="仿宋" w:hAnsi="仿宋" w:eastAsia="仿宋" w:cs="仿宋"/>
          <w:color w:val="auto"/>
          <w:kern w:val="0"/>
          <w:sz w:val="32"/>
          <w:szCs w:val="32"/>
          <w:shd w:val="clear" w:color="auto" w:fill="FFFFFF"/>
        </w:rPr>
        <w:t>资金监管业务流程：</w:t>
      </w:r>
    </w:p>
    <w:p w14:paraId="3F362A73">
      <w:pPr>
        <w:shd w:val="solid" w:color="FFFFFF" w:fill="auto"/>
        <w:topLinePunct/>
        <w:autoSpaceDN w:val="0"/>
        <w:spacing w:line="560" w:lineRule="exact"/>
        <w:ind w:firstLine="960" w:firstLineChars="300"/>
        <w:rPr>
          <w:rFonts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（一）非贷款类型</w:t>
      </w:r>
    </w:p>
    <w:p w14:paraId="544B181B">
      <w:pPr>
        <w:shd w:val="solid" w:color="FFFFFF" w:fill="auto"/>
        <w:topLinePunct/>
        <w:autoSpaceDN w:val="0"/>
        <w:spacing w:line="560" w:lineRule="exact"/>
        <w:ind w:firstLine="640" w:firstLineChars="200"/>
        <w:rPr>
          <w:rFonts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1.</w:t>
      </w:r>
      <w:r>
        <w:rPr>
          <w:rFonts w:hint="eastAsia" w:ascii="仿宋" w:hAnsi="仿宋" w:eastAsia="仿宋" w:cs="仿宋"/>
          <w:color w:val="auto"/>
          <w:sz w:val="32"/>
          <w:szCs w:val="32"/>
        </w:rPr>
        <w:t>房源信息核验后，交易双方在不动产登记综合受理窗口</w:t>
      </w:r>
      <w:r>
        <w:rPr>
          <w:rFonts w:hint="eastAsia" w:ascii="仿宋" w:hAnsi="仿宋" w:eastAsia="仿宋" w:cs="仿宋"/>
          <w:color w:val="auto"/>
          <w:kern w:val="0"/>
          <w:sz w:val="32"/>
          <w:szCs w:val="32"/>
          <w:shd w:val="clear" w:color="auto" w:fill="FFFFFF"/>
        </w:rPr>
        <w:t>签订《存量房买卖合同》和《景德镇市存量房交易资金监管协议》（以下简称《监管协议》）。</w:t>
      </w:r>
    </w:p>
    <w:p w14:paraId="63C7A038">
      <w:pPr>
        <w:shd w:val="solid" w:color="FFFFFF" w:fill="auto"/>
        <w:topLinePunct/>
        <w:autoSpaceDN w:val="0"/>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2.受理窗口开具《存量房交易结算资金监管凭证》（以下简称《监管凭证》），买方凭《监管凭证》将交易资金存入实施机构监管账户，实施机构对《监管凭证》予以签章确认。</w:t>
      </w:r>
    </w:p>
    <w:p w14:paraId="3911C6B9">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3.交易双方办理不动产转移登记手续。</w:t>
      </w:r>
    </w:p>
    <w:p w14:paraId="747FF904">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4.不动产转移登记完成后，</w:t>
      </w:r>
      <w:r>
        <w:rPr>
          <w:rFonts w:hint="eastAsia" w:ascii="仿宋" w:hAnsi="仿宋" w:eastAsia="仿宋" w:cs="仿宋"/>
          <w:color w:val="auto"/>
          <w:sz w:val="32"/>
          <w:szCs w:val="32"/>
        </w:rPr>
        <w:t>交易结算资金及时划转至卖方指定银行账户。</w:t>
      </w:r>
    </w:p>
    <w:p w14:paraId="018BC1AE">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（二）商业贷款类型</w:t>
      </w:r>
    </w:p>
    <w:p w14:paraId="1AACBAF5">
      <w:pPr>
        <w:shd w:val="solid" w:color="FFFFFF" w:fill="auto"/>
        <w:topLinePunct/>
        <w:autoSpaceDN w:val="0"/>
        <w:spacing w:line="560" w:lineRule="exact"/>
        <w:ind w:firstLine="640" w:firstLineChars="200"/>
        <w:rPr>
          <w:rFonts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1.</w:t>
      </w:r>
      <w:r>
        <w:rPr>
          <w:rFonts w:hint="eastAsia" w:ascii="仿宋" w:hAnsi="仿宋" w:eastAsia="仿宋" w:cs="仿宋"/>
          <w:color w:val="auto"/>
          <w:sz w:val="32"/>
          <w:szCs w:val="32"/>
        </w:rPr>
        <w:t>房源信息核验后，交易双方在不动产登记综合受理窗口</w:t>
      </w:r>
      <w:r>
        <w:rPr>
          <w:rFonts w:hint="eastAsia" w:ascii="仿宋" w:hAnsi="仿宋" w:eastAsia="仿宋" w:cs="仿宋"/>
          <w:color w:val="auto"/>
          <w:kern w:val="0"/>
          <w:sz w:val="32"/>
          <w:szCs w:val="32"/>
          <w:shd w:val="clear" w:color="auto" w:fill="FFFFFF"/>
        </w:rPr>
        <w:t>签订《存量房买卖合同》和《监管协议》。</w:t>
      </w:r>
    </w:p>
    <w:p w14:paraId="572BCB10">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2.受理窗口开具《监管凭证》，买方凭《监管凭证》将首付款存入实施机构监管账户，卖方凭《监管凭证》将履约保证金存入实施机构监管账户，实施机构对《监管凭证》予以签章确认。</w:t>
      </w:r>
    </w:p>
    <w:p w14:paraId="2CC967A9">
      <w:pPr>
        <w:shd w:val="solid" w:color="FFFFFF" w:fill="auto"/>
        <w:topLinePunct/>
        <w:autoSpaceDN w:val="0"/>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3.</w:t>
      </w:r>
      <w:r>
        <w:rPr>
          <w:rFonts w:hint="eastAsia" w:ascii="仿宋" w:hAnsi="仿宋" w:eastAsia="仿宋" w:cs="仿宋"/>
          <w:color w:val="auto"/>
          <w:sz w:val="32"/>
          <w:szCs w:val="32"/>
        </w:rPr>
        <w:t>买受人在行政服务大厅资金监管后台窗口提交</w:t>
      </w:r>
      <w:r>
        <w:rPr>
          <w:rFonts w:hint="eastAsia" w:ascii="仿宋" w:hAnsi="仿宋" w:eastAsia="仿宋" w:cs="仿宋"/>
          <w:color w:val="auto"/>
          <w:sz w:val="32"/>
          <w:szCs w:val="32"/>
          <w:shd w:val="clear" w:color="auto" w:fill="FFFFFF"/>
        </w:rPr>
        <w:t>《监管</w:t>
      </w:r>
    </w:p>
    <w:p w14:paraId="4D1FCD8D">
      <w:pPr>
        <w:shd w:val="solid" w:color="FFFFFF" w:fill="auto"/>
        <w:topLinePunct/>
        <w:autoSpaceDN w:val="0"/>
        <w:spacing w:line="560" w:lineRule="exact"/>
        <w:rPr>
          <w:rFonts w:ascii="仿宋" w:hAnsi="仿宋" w:eastAsia="仿宋" w:cs="仿宋"/>
          <w:color w:val="auto"/>
          <w:sz w:val="32"/>
          <w:szCs w:val="32"/>
        </w:rPr>
      </w:pPr>
      <w:r>
        <w:rPr>
          <w:rFonts w:hint="eastAsia" w:ascii="仿宋" w:hAnsi="仿宋" w:eastAsia="仿宋" w:cs="仿宋"/>
          <w:color w:val="auto"/>
          <w:sz w:val="32"/>
          <w:szCs w:val="32"/>
          <w:shd w:val="clear" w:color="auto" w:fill="FFFFFF"/>
        </w:rPr>
        <w:t>凭证》、《监管协议》、《存量房买卖合同》及</w:t>
      </w:r>
      <w:r>
        <w:rPr>
          <w:rFonts w:hint="eastAsia" w:ascii="仿宋" w:hAnsi="仿宋" w:eastAsia="仿宋" w:cs="仿宋"/>
          <w:color w:val="auto"/>
          <w:sz w:val="32"/>
          <w:szCs w:val="32"/>
        </w:rPr>
        <w:t xml:space="preserve">商业贷款相关申请资料，由实施机构组织买受人向商业银行申请商业贷款。  </w:t>
      </w:r>
    </w:p>
    <w:p w14:paraId="6B57602C">
      <w:pPr>
        <w:spacing w:line="56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4.商业贷款审批完成后，贷款即时划转至实施机构监管专户。交易双方持首付款</w:t>
      </w:r>
      <w:r>
        <w:rPr>
          <w:rFonts w:hint="eastAsia" w:ascii="仿宋" w:hAnsi="仿宋" w:eastAsia="仿宋" w:cs="仿宋"/>
          <w:color w:val="auto"/>
          <w:sz w:val="32"/>
          <w:szCs w:val="32"/>
          <w:shd w:val="clear" w:color="auto" w:fill="FFFFFF"/>
        </w:rPr>
        <w:t>《监管凭证》，到</w:t>
      </w:r>
      <w:r>
        <w:rPr>
          <w:rFonts w:hint="eastAsia" w:ascii="仿宋" w:hAnsi="仿宋" w:eastAsia="仿宋" w:cs="仿宋"/>
          <w:color w:val="auto"/>
          <w:sz w:val="32"/>
          <w:szCs w:val="32"/>
        </w:rPr>
        <w:t>行政服务大厅资金监管后台窗口换取全额</w:t>
      </w:r>
      <w:r>
        <w:rPr>
          <w:rFonts w:hint="eastAsia" w:ascii="仿宋" w:hAnsi="仿宋" w:eastAsia="仿宋" w:cs="仿宋"/>
          <w:color w:val="auto"/>
          <w:sz w:val="32"/>
          <w:szCs w:val="32"/>
          <w:shd w:val="clear" w:color="auto" w:fill="FFFFFF"/>
        </w:rPr>
        <w:t>《监管凭证》。</w:t>
      </w:r>
    </w:p>
    <w:p w14:paraId="5B248543">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5.交易双方办理不动产转移及抵押登记手续。</w:t>
      </w:r>
    </w:p>
    <w:p w14:paraId="12E62651">
      <w:pPr>
        <w:spacing w:line="56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shd w:val="clear" w:color="auto" w:fill="FFFFFF"/>
        </w:rPr>
        <w:t>6.抵押登记完成后，</w:t>
      </w:r>
      <w:r>
        <w:rPr>
          <w:rFonts w:hint="eastAsia" w:ascii="仿宋" w:hAnsi="仿宋" w:eastAsia="仿宋" w:cs="仿宋"/>
          <w:color w:val="auto"/>
          <w:sz w:val="32"/>
          <w:szCs w:val="32"/>
        </w:rPr>
        <w:t>交易结算资金及时划转至卖方指定银行账户。</w:t>
      </w:r>
    </w:p>
    <w:p w14:paraId="07A2AEA3">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rPr>
        <w:t>（三）</w:t>
      </w:r>
      <w:r>
        <w:rPr>
          <w:rFonts w:hint="eastAsia" w:ascii="仿宋" w:hAnsi="仿宋" w:eastAsia="仿宋" w:cs="仿宋"/>
          <w:color w:val="auto"/>
          <w:kern w:val="0"/>
          <w:sz w:val="32"/>
          <w:szCs w:val="32"/>
          <w:shd w:val="clear" w:color="auto" w:fill="FFFFFF"/>
        </w:rPr>
        <w:t>公积金贷款类型</w:t>
      </w:r>
    </w:p>
    <w:p w14:paraId="64DFA9A9">
      <w:pPr>
        <w:shd w:val="solid" w:color="FFFFFF" w:fill="auto"/>
        <w:topLinePunct/>
        <w:autoSpaceDN w:val="0"/>
        <w:spacing w:line="560" w:lineRule="exact"/>
        <w:ind w:firstLine="640" w:firstLineChars="200"/>
        <w:rPr>
          <w:rFonts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1.</w:t>
      </w:r>
      <w:r>
        <w:rPr>
          <w:rFonts w:hint="eastAsia" w:ascii="仿宋" w:hAnsi="仿宋" w:eastAsia="仿宋" w:cs="仿宋"/>
          <w:color w:val="auto"/>
          <w:sz w:val="32"/>
          <w:szCs w:val="32"/>
        </w:rPr>
        <w:t>房源信息核验后，交易双方在不动产登记综合受理窗口</w:t>
      </w:r>
      <w:r>
        <w:rPr>
          <w:rFonts w:hint="eastAsia" w:ascii="仿宋" w:hAnsi="仿宋" w:eastAsia="仿宋" w:cs="仿宋"/>
          <w:color w:val="auto"/>
          <w:kern w:val="0"/>
          <w:sz w:val="32"/>
          <w:szCs w:val="32"/>
          <w:shd w:val="clear" w:color="auto" w:fill="FFFFFF"/>
        </w:rPr>
        <w:t>签订《存量房买卖合同》和《监管协议》。</w:t>
      </w:r>
    </w:p>
    <w:p w14:paraId="7F5906F6">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2.受理窗口开具《监管凭证》，买方凭《监管凭证》将首付款存入实施机构监管账户，实施机构对《监管凭证》予以签章确认。</w:t>
      </w:r>
    </w:p>
    <w:p w14:paraId="0F4C7552">
      <w:pPr>
        <w:spacing w:line="56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shd w:val="clear" w:color="auto" w:fill="FFFFFF"/>
        </w:rPr>
        <w:t>3.</w:t>
      </w:r>
      <w:r>
        <w:rPr>
          <w:rFonts w:hint="eastAsia" w:ascii="仿宋" w:hAnsi="仿宋" w:eastAsia="仿宋" w:cs="仿宋"/>
          <w:color w:val="auto"/>
          <w:sz w:val="32"/>
          <w:szCs w:val="32"/>
        </w:rPr>
        <w:t>办理不动产转移及不动产抵押登记手续。</w:t>
      </w:r>
    </w:p>
    <w:p w14:paraId="0EAAC2F7">
      <w:pPr>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4.公积金贷款审批完成后，贷款转至卖方指定银行账户。</w:t>
      </w:r>
    </w:p>
    <w:p w14:paraId="522097C7">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rPr>
        <w:t>5.抵押登记完成后，首付款即时划至卖方指定银行账户。</w:t>
      </w:r>
    </w:p>
    <w:p w14:paraId="02BF9DE7">
      <w:pPr>
        <w:spacing w:line="560" w:lineRule="exact"/>
        <w:ind w:firstLine="640" w:firstLineChars="200"/>
        <w:rPr>
          <w:rFonts w:ascii="仿宋" w:hAnsi="仿宋" w:eastAsia="仿宋" w:cs="仿宋"/>
          <w:color w:val="auto"/>
          <w:kern w:val="0"/>
          <w:sz w:val="32"/>
          <w:szCs w:val="32"/>
          <w:shd w:val="clear" w:color="auto" w:fill="FFFFFF"/>
        </w:rPr>
      </w:pPr>
      <w:r>
        <w:rPr>
          <w:rFonts w:hint="eastAsia" w:ascii="黑体" w:hAnsi="黑体" w:eastAsia="黑体" w:cs="黑体"/>
          <w:bCs/>
          <w:color w:val="auto"/>
          <w:kern w:val="0"/>
          <w:sz w:val="32"/>
          <w:szCs w:val="32"/>
          <w:shd w:val="clear" w:color="auto" w:fill="FFFFFF"/>
        </w:rPr>
        <w:t xml:space="preserve">第十一条  </w:t>
      </w:r>
      <w:r>
        <w:rPr>
          <w:rFonts w:hint="eastAsia" w:ascii="仿宋" w:hAnsi="仿宋" w:eastAsia="仿宋" w:cs="仿宋"/>
          <w:color w:val="auto"/>
          <w:sz w:val="32"/>
          <w:szCs w:val="32"/>
          <w:shd w:val="clear" w:color="auto" w:fill="FFFFFF"/>
        </w:rPr>
        <w:t>卖方支取监管资金业务流程：</w:t>
      </w:r>
      <w:r>
        <w:rPr>
          <w:rFonts w:hint="eastAsia" w:ascii="仿宋" w:hAnsi="仿宋" w:eastAsia="仿宋" w:cs="仿宋"/>
          <w:color w:val="auto"/>
          <w:kern w:val="0"/>
          <w:sz w:val="32"/>
          <w:szCs w:val="32"/>
          <w:shd w:val="clear" w:color="auto" w:fill="FFFFFF"/>
        </w:rPr>
        <w:t>卖方凭身份证、</w:t>
      </w:r>
      <w:r>
        <w:rPr>
          <w:rFonts w:hint="eastAsia" w:ascii="仿宋" w:hAnsi="仿宋" w:eastAsia="仿宋" w:cs="仿宋"/>
          <w:color w:val="auto"/>
          <w:sz w:val="32"/>
          <w:szCs w:val="32"/>
          <w:shd w:val="clear" w:color="auto" w:fill="FFFFFF"/>
        </w:rPr>
        <w:t>交易完成后的《不动产权证》或《不动产登记证明》的原件及《监管凭证》</w:t>
      </w:r>
      <w:r>
        <w:rPr>
          <w:rFonts w:hint="eastAsia" w:ascii="仿宋" w:hAnsi="仿宋" w:eastAsia="仿宋" w:cs="仿宋"/>
          <w:color w:val="auto"/>
          <w:kern w:val="0"/>
          <w:sz w:val="32"/>
          <w:szCs w:val="32"/>
          <w:shd w:val="clear" w:color="auto" w:fill="FFFFFF"/>
        </w:rPr>
        <w:t>到</w:t>
      </w:r>
      <w:r>
        <w:rPr>
          <w:rFonts w:hint="eastAsia" w:ascii="仿宋" w:hAnsi="仿宋" w:eastAsia="仿宋" w:cs="仿宋"/>
          <w:color w:val="auto"/>
          <w:sz w:val="32"/>
          <w:szCs w:val="32"/>
        </w:rPr>
        <w:t>行政服务大厅资金监管后台窗口</w:t>
      </w:r>
      <w:r>
        <w:rPr>
          <w:rFonts w:hint="eastAsia" w:ascii="仿宋" w:hAnsi="仿宋" w:eastAsia="仿宋" w:cs="仿宋"/>
          <w:color w:val="auto"/>
          <w:kern w:val="0"/>
          <w:sz w:val="32"/>
          <w:szCs w:val="32"/>
          <w:shd w:val="clear" w:color="auto" w:fill="FFFFFF"/>
        </w:rPr>
        <w:t>办理《景德镇市存量房交易监管资金划拨单》（以下简称《资金划拨单》），</w:t>
      </w:r>
      <w:r>
        <w:rPr>
          <w:rFonts w:hint="eastAsia" w:ascii="仿宋" w:hAnsi="仿宋" w:eastAsia="仿宋" w:cs="仿宋"/>
          <w:color w:val="auto"/>
          <w:sz w:val="32"/>
          <w:szCs w:val="32"/>
        </w:rPr>
        <w:t>监管银行即时划转交易结算资金。</w:t>
      </w:r>
    </w:p>
    <w:p w14:paraId="386A1375">
      <w:pPr>
        <w:spacing w:line="560" w:lineRule="exact"/>
        <w:ind w:firstLine="640" w:firstLineChars="200"/>
        <w:rPr>
          <w:rFonts w:ascii="仿宋" w:hAnsi="仿宋" w:eastAsia="仿宋" w:cs="仿宋"/>
          <w:b/>
          <w:color w:val="auto"/>
          <w:kern w:val="0"/>
          <w:sz w:val="32"/>
          <w:szCs w:val="32"/>
          <w:shd w:val="clear" w:color="auto" w:fill="FFFFFF"/>
        </w:rPr>
      </w:pPr>
      <w:r>
        <w:rPr>
          <w:rFonts w:hint="eastAsia" w:ascii="黑体" w:hAnsi="黑体" w:eastAsia="黑体" w:cs="黑体"/>
          <w:bCs/>
          <w:color w:val="auto"/>
          <w:kern w:val="0"/>
          <w:sz w:val="32"/>
          <w:szCs w:val="32"/>
          <w:shd w:val="clear" w:color="auto" w:fill="FFFFFF"/>
        </w:rPr>
        <w:t xml:space="preserve">第十二条  </w:t>
      </w:r>
      <w:r>
        <w:rPr>
          <w:rFonts w:hint="eastAsia" w:ascii="仿宋" w:hAnsi="仿宋" w:eastAsia="仿宋" w:cs="仿宋"/>
          <w:color w:val="auto"/>
          <w:kern w:val="0"/>
          <w:sz w:val="32"/>
          <w:szCs w:val="32"/>
          <w:shd w:val="clear" w:color="auto" w:fill="FFFFFF"/>
        </w:rPr>
        <w:t>资金监管解除业务流程：</w:t>
      </w:r>
    </w:p>
    <w:p w14:paraId="7A7ADA88">
      <w:pPr>
        <w:spacing w:line="560" w:lineRule="exact"/>
        <w:ind w:firstLine="640" w:firstLineChars="200"/>
        <w:rPr>
          <w:rFonts w:ascii="仿宋" w:hAnsi="仿宋" w:eastAsia="仿宋" w:cs="仿宋"/>
          <w:bCs/>
          <w:color w:val="auto"/>
          <w:sz w:val="32"/>
          <w:szCs w:val="32"/>
        </w:rPr>
      </w:pPr>
      <w:r>
        <w:rPr>
          <w:rFonts w:hint="eastAsia" w:ascii="仿宋" w:hAnsi="仿宋" w:eastAsia="仿宋" w:cs="仿宋"/>
          <w:bCs/>
          <w:color w:val="auto"/>
          <w:kern w:val="0"/>
          <w:sz w:val="32"/>
          <w:szCs w:val="32"/>
          <w:shd w:val="clear" w:color="auto" w:fill="FFFFFF"/>
        </w:rPr>
        <w:t>（一）</w:t>
      </w:r>
      <w:r>
        <w:rPr>
          <w:rFonts w:hint="eastAsia" w:ascii="仿宋" w:hAnsi="仿宋" w:eastAsia="仿宋" w:cs="仿宋"/>
          <w:bCs/>
          <w:color w:val="auto"/>
          <w:sz w:val="32"/>
          <w:szCs w:val="32"/>
        </w:rPr>
        <w:t>交易双方协商解除交易类型</w:t>
      </w:r>
    </w:p>
    <w:p w14:paraId="21B8A09C">
      <w:pPr>
        <w:spacing w:line="560" w:lineRule="exact"/>
        <w:ind w:firstLine="640" w:firstLineChars="200"/>
        <w:rPr>
          <w:rFonts w:ascii="仿宋" w:hAnsi="仿宋" w:eastAsia="仿宋" w:cs="仿宋"/>
          <w:color w:val="auto"/>
          <w:kern w:val="0"/>
          <w:sz w:val="32"/>
          <w:szCs w:val="32"/>
          <w:shd w:val="clear" w:color="auto" w:fill="FFFFFF"/>
        </w:rPr>
      </w:pPr>
      <w:r>
        <w:rPr>
          <w:rFonts w:hint="eastAsia" w:ascii="仿宋" w:hAnsi="仿宋" w:eastAsia="仿宋" w:cs="仿宋"/>
          <w:color w:val="auto"/>
          <w:sz w:val="32"/>
          <w:szCs w:val="32"/>
        </w:rPr>
        <w:t>1.提交要件：《监管协议》、《监管凭证》、</w:t>
      </w:r>
      <w:r>
        <w:rPr>
          <w:rFonts w:hint="eastAsia" w:ascii="仿宋" w:hAnsi="仿宋" w:eastAsia="仿宋" w:cs="仿宋"/>
          <w:color w:val="auto"/>
          <w:kern w:val="0"/>
          <w:sz w:val="32"/>
          <w:szCs w:val="32"/>
          <w:shd w:val="clear" w:color="auto" w:fill="FFFFFF"/>
        </w:rPr>
        <w:t>《注销申请表》、身份证及</w:t>
      </w:r>
      <w:r>
        <w:rPr>
          <w:rFonts w:hint="eastAsia" w:ascii="仿宋" w:hAnsi="仿宋" w:eastAsia="仿宋" w:cs="仿宋"/>
          <w:color w:val="auto"/>
          <w:sz w:val="32"/>
          <w:szCs w:val="32"/>
          <w:shd w:val="clear" w:color="auto" w:fill="FFFFFF"/>
        </w:rPr>
        <w:t>买方</w:t>
      </w:r>
      <w:r>
        <w:rPr>
          <w:rFonts w:hint="eastAsia" w:ascii="仿宋" w:hAnsi="仿宋" w:eastAsia="仿宋" w:cs="仿宋"/>
          <w:color w:val="auto"/>
          <w:kern w:val="0"/>
          <w:sz w:val="32"/>
          <w:szCs w:val="32"/>
          <w:shd w:val="clear" w:color="auto" w:fill="FFFFFF"/>
        </w:rPr>
        <w:t>银行借记卡原件。</w:t>
      </w:r>
    </w:p>
    <w:p w14:paraId="245EBCAC">
      <w:pPr>
        <w:spacing w:line="560" w:lineRule="exact"/>
        <w:ind w:firstLine="640" w:firstLineChars="200"/>
        <w:rPr>
          <w:rFonts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2.业务流程：交易双方到</w:t>
      </w:r>
      <w:r>
        <w:rPr>
          <w:rFonts w:hint="eastAsia" w:ascii="仿宋" w:hAnsi="仿宋" w:eastAsia="仿宋" w:cs="仿宋"/>
          <w:color w:val="auto"/>
          <w:sz w:val="32"/>
          <w:szCs w:val="32"/>
        </w:rPr>
        <w:t>行政服务中心资金监管后台窗口</w:t>
      </w:r>
      <w:r>
        <w:rPr>
          <w:rFonts w:hint="eastAsia" w:ascii="仿宋" w:hAnsi="仿宋" w:eastAsia="仿宋" w:cs="仿宋"/>
          <w:color w:val="auto"/>
          <w:kern w:val="0"/>
          <w:sz w:val="32"/>
          <w:szCs w:val="32"/>
          <w:shd w:val="clear" w:color="auto" w:fill="FFFFFF"/>
        </w:rPr>
        <w:t>签订《景德镇市存量房交易资金监管协议解除确认书》，经实施机构审核同意后，办理《资金划拨单》，</w:t>
      </w:r>
      <w:r>
        <w:rPr>
          <w:rFonts w:hint="eastAsia" w:ascii="仿宋" w:hAnsi="仿宋" w:eastAsia="仿宋" w:cs="仿宋"/>
          <w:color w:val="auto"/>
          <w:sz w:val="32"/>
          <w:szCs w:val="32"/>
        </w:rPr>
        <w:t>监管银行即时划转交易结算资金。</w:t>
      </w:r>
    </w:p>
    <w:p w14:paraId="51069F74">
      <w:pPr>
        <w:spacing w:line="560" w:lineRule="exact"/>
        <w:ind w:firstLine="640" w:firstLineChars="200"/>
        <w:rPr>
          <w:rFonts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（二）经法院、仲裁机构判决或裁定终止交易类型</w:t>
      </w:r>
    </w:p>
    <w:p w14:paraId="6DD49740">
      <w:pPr>
        <w:spacing w:line="560" w:lineRule="exact"/>
        <w:ind w:firstLine="640" w:firstLineChars="200"/>
        <w:rPr>
          <w:rFonts w:ascii="仿宋" w:hAnsi="仿宋" w:eastAsia="仿宋" w:cs="仿宋"/>
          <w:color w:val="auto"/>
          <w:kern w:val="0"/>
          <w:sz w:val="32"/>
          <w:szCs w:val="32"/>
          <w:shd w:val="clear" w:color="auto" w:fill="FFFFFF"/>
        </w:rPr>
      </w:pPr>
      <w:r>
        <w:rPr>
          <w:rFonts w:hint="eastAsia" w:ascii="仿宋" w:hAnsi="仿宋" w:eastAsia="仿宋" w:cs="仿宋"/>
          <w:color w:val="auto"/>
          <w:sz w:val="32"/>
          <w:szCs w:val="32"/>
        </w:rPr>
        <w:t>1.提交要件：《监管协议》、《监管凭证》、</w:t>
      </w:r>
      <w:r>
        <w:rPr>
          <w:rFonts w:hint="eastAsia" w:ascii="仿宋" w:hAnsi="仿宋" w:eastAsia="仿宋" w:cs="仿宋"/>
          <w:color w:val="auto"/>
          <w:kern w:val="0"/>
          <w:sz w:val="32"/>
          <w:szCs w:val="32"/>
          <w:shd w:val="clear" w:color="auto" w:fill="FFFFFF"/>
        </w:rPr>
        <w:t>《注销申请表》、身份证、生效的法律文书及</w:t>
      </w:r>
      <w:r>
        <w:rPr>
          <w:rFonts w:hint="eastAsia" w:ascii="仿宋" w:hAnsi="仿宋" w:eastAsia="仿宋" w:cs="仿宋"/>
          <w:color w:val="auto"/>
          <w:sz w:val="32"/>
          <w:szCs w:val="32"/>
          <w:shd w:val="clear" w:color="auto" w:fill="FFFFFF"/>
        </w:rPr>
        <w:t>买方</w:t>
      </w:r>
      <w:r>
        <w:rPr>
          <w:rFonts w:hint="eastAsia" w:ascii="仿宋" w:hAnsi="仿宋" w:eastAsia="仿宋" w:cs="仿宋"/>
          <w:color w:val="auto"/>
          <w:kern w:val="0"/>
          <w:sz w:val="32"/>
          <w:szCs w:val="32"/>
          <w:shd w:val="clear" w:color="auto" w:fill="FFFFFF"/>
        </w:rPr>
        <w:t>银行借记卡原件。</w:t>
      </w:r>
    </w:p>
    <w:p w14:paraId="6DBF720F">
      <w:pPr>
        <w:spacing w:line="560" w:lineRule="exact"/>
        <w:ind w:firstLine="640" w:firstLineChars="200"/>
        <w:rPr>
          <w:rFonts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2.业务流程：交易双方到</w:t>
      </w:r>
      <w:r>
        <w:rPr>
          <w:rFonts w:hint="eastAsia" w:ascii="仿宋" w:hAnsi="仿宋" w:eastAsia="仿宋" w:cs="仿宋"/>
          <w:color w:val="auto"/>
          <w:sz w:val="32"/>
          <w:szCs w:val="32"/>
        </w:rPr>
        <w:t>行政服务中心资金监管后台窗口</w:t>
      </w:r>
      <w:r>
        <w:rPr>
          <w:rFonts w:hint="eastAsia" w:ascii="仿宋" w:hAnsi="仿宋" w:eastAsia="仿宋" w:cs="仿宋"/>
          <w:color w:val="auto"/>
          <w:kern w:val="0"/>
          <w:sz w:val="32"/>
          <w:szCs w:val="32"/>
          <w:shd w:val="clear" w:color="auto" w:fill="FFFFFF"/>
        </w:rPr>
        <w:t>签订《景德镇市存量房交易资金监管协议解除确认书》，经实施机构审核同意后，办理《资金划拨单》，</w:t>
      </w:r>
      <w:r>
        <w:rPr>
          <w:rFonts w:hint="eastAsia" w:ascii="仿宋" w:hAnsi="仿宋" w:eastAsia="仿宋" w:cs="仿宋"/>
          <w:color w:val="auto"/>
          <w:sz w:val="32"/>
          <w:szCs w:val="32"/>
        </w:rPr>
        <w:t>监管银行即时划转交易结算资金。如交易双方不予配合，则需人民法院协助执行通知书，再办理有关手续。</w:t>
      </w:r>
    </w:p>
    <w:p w14:paraId="10B8B086">
      <w:pPr>
        <w:spacing w:line="560" w:lineRule="exact"/>
        <w:ind w:firstLine="640" w:firstLineChars="200"/>
        <w:rPr>
          <w:rFonts w:ascii="仿宋" w:hAnsi="仿宋" w:eastAsia="仿宋" w:cs="仿宋"/>
          <w:color w:val="auto"/>
          <w:kern w:val="0"/>
          <w:sz w:val="32"/>
          <w:szCs w:val="32"/>
          <w:shd w:val="clear" w:color="auto" w:fill="FFFFFF"/>
        </w:rPr>
      </w:pPr>
      <w:r>
        <w:rPr>
          <w:rFonts w:hint="eastAsia" w:ascii="黑体" w:hAnsi="黑体" w:eastAsia="黑体" w:cs="黑体"/>
          <w:bCs/>
          <w:color w:val="auto"/>
          <w:kern w:val="0"/>
          <w:sz w:val="32"/>
          <w:szCs w:val="32"/>
          <w:shd w:val="clear" w:color="auto" w:fill="FFFFFF"/>
        </w:rPr>
        <w:t>第十三条</w:t>
      </w:r>
      <w:r>
        <w:rPr>
          <w:rFonts w:hint="eastAsia" w:ascii="仿宋" w:hAnsi="仿宋" w:eastAsia="仿宋" w:cs="仿宋"/>
          <w:b/>
          <w:color w:val="auto"/>
          <w:kern w:val="0"/>
          <w:sz w:val="32"/>
          <w:szCs w:val="32"/>
          <w:shd w:val="clear" w:color="auto" w:fill="FFFFFF"/>
        </w:rPr>
        <w:t xml:space="preserve"> </w:t>
      </w:r>
      <w:r>
        <w:rPr>
          <w:rFonts w:hint="eastAsia" w:ascii="仿宋" w:hAnsi="仿宋" w:eastAsia="仿宋" w:cs="仿宋"/>
          <w:color w:val="auto"/>
          <w:kern w:val="0"/>
          <w:sz w:val="32"/>
          <w:szCs w:val="32"/>
          <w:shd w:val="clear" w:color="auto" w:fill="FFFFFF"/>
        </w:rPr>
        <w:t>监管协议变更业务流程：交易双方凭身份证 到</w:t>
      </w:r>
      <w:r>
        <w:rPr>
          <w:rFonts w:hint="eastAsia" w:ascii="仿宋" w:hAnsi="仿宋" w:eastAsia="仿宋" w:cs="仿宋"/>
          <w:color w:val="auto"/>
          <w:sz w:val="32"/>
          <w:szCs w:val="32"/>
        </w:rPr>
        <w:t>行政服务中心资金监管后台窗口</w:t>
      </w:r>
      <w:r>
        <w:rPr>
          <w:rFonts w:hint="eastAsia" w:ascii="仿宋" w:hAnsi="仿宋" w:eastAsia="仿宋" w:cs="仿宋"/>
          <w:color w:val="auto"/>
          <w:kern w:val="0"/>
          <w:sz w:val="32"/>
          <w:szCs w:val="32"/>
          <w:shd w:val="clear" w:color="auto" w:fill="FFFFFF"/>
        </w:rPr>
        <w:t>签订《景德镇市存量房交资金监管协议变更确认书》(以下简称《变更确认书》)。经实施机构审核同意后，重新签订《监管协议》，但不得变更监管金额。交易双方指定银行账户变更的，应在不动产转移登记前办理，《监管协议》编号保持不变。</w:t>
      </w:r>
    </w:p>
    <w:p w14:paraId="61DEEFB2">
      <w:pPr>
        <w:spacing w:line="560" w:lineRule="exact"/>
        <w:ind w:firstLine="640" w:firstLineChars="200"/>
        <w:rPr>
          <w:rFonts w:ascii="仿宋" w:hAnsi="仿宋" w:eastAsia="仿宋" w:cs="仿宋"/>
          <w:color w:val="auto"/>
          <w:kern w:val="0"/>
          <w:sz w:val="32"/>
          <w:szCs w:val="32"/>
          <w:shd w:val="clear" w:color="auto" w:fill="FFFFFF"/>
        </w:rPr>
      </w:pPr>
      <w:r>
        <w:rPr>
          <w:rFonts w:hint="eastAsia" w:ascii="黑体" w:hAnsi="黑体" w:eastAsia="黑体" w:cs="黑体"/>
          <w:bCs/>
          <w:color w:val="auto"/>
          <w:kern w:val="0"/>
          <w:sz w:val="32"/>
          <w:szCs w:val="32"/>
          <w:shd w:val="clear" w:color="auto" w:fill="FFFFFF"/>
        </w:rPr>
        <w:t xml:space="preserve">第十四条  </w:t>
      </w:r>
      <w:r>
        <w:rPr>
          <w:rFonts w:hint="eastAsia" w:ascii="仿宋" w:hAnsi="仿宋" w:eastAsia="仿宋" w:cs="仿宋"/>
          <w:color w:val="auto"/>
          <w:kern w:val="0"/>
          <w:sz w:val="32"/>
          <w:szCs w:val="32"/>
          <w:shd w:val="clear" w:color="auto" w:fill="FFFFFF"/>
        </w:rPr>
        <w:t>下列不动产权属转移情形或交易当事人提出明确要求的，可不纳入存量房交易资金监管范围：</w:t>
      </w:r>
    </w:p>
    <w:p w14:paraId="7F454FDC">
      <w:pPr>
        <w:spacing w:line="560" w:lineRule="exact"/>
        <w:ind w:firstLine="640" w:firstLineChars="200"/>
        <w:rPr>
          <w:rFonts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（一）依据人民法院或仲裁委生效法律文书，转移房屋权属的；</w:t>
      </w:r>
    </w:p>
    <w:p w14:paraId="79B33DF8">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（二）继承、赠与产权交换的；</w:t>
      </w:r>
    </w:p>
    <w:p w14:paraId="0185D2DA">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（三）共有人之间份额转让的；</w:t>
      </w:r>
    </w:p>
    <w:p w14:paraId="0AAC2099">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（四）拍卖转让的；</w:t>
      </w:r>
    </w:p>
    <w:p w14:paraId="46494E79">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（五）出资入股的；</w:t>
      </w:r>
    </w:p>
    <w:p w14:paraId="52DB9220">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（六）配偶及其他直系亲属（子女、父母、祖父母、外祖父母）间转让的，同户籍的提供户籍证明，非同户籍的需户籍所在地派出所、街道（社区）出具的亲属关系证明；</w:t>
      </w:r>
    </w:p>
    <w:p w14:paraId="3A9A912E">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（七）属于国有资产挂牌交易的需提供营业执照、公司章程、法人身份证复印件加盖公章；</w:t>
      </w:r>
    </w:p>
    <w:p w14:paraId="19070E53">
      <w:pPr>
        <w:spacing w:line="560" w:lineRule="exact"/>
        <w:ind w:firstLine="640" w:firstLineChars="200"/>
        <w:rPr>
          <w:rFonts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（八）其它不具备资金监管条件的情形。</w:t>
      </w:r>
    </w:p>
    <w:p w14:paraId="017A968C">
      <w:pPr>
        <w:topLinePunct/>
        <w:spacing w:line="560" w:lineRule="exact"/>
        <w:ind w:firstLine="640" w:firstLineChars="200"/>
        <w:rPr>
          <w:rFonts w:ascii="仿宋" w:hAnsi="仿宋" w:eastAsia="仿宋" w:cs="仿宋"/>
          <w:color w:val="auto"/>
          <w:kern w:val="0"/>
          <w:sz w:val="32"/>
          <w:szCs w:val="32"/>
          <w:shd w:val="clear" w:color="auto" w:fill="FFFFFF"/>
        </w:rPr>
      </w:pPr>
      <w:r>
        <w:rPr>
          <w:rFonts w:hint="eastAsia" w:ascii="仿宋" w:hAnsi="仿宋" w:eastAsia="仿宋" w:cs="仿宋"/>
          <w:color w:val="auto"/>
          <w:kern w:val="0"/>
          <w:sz w:val="32"/>
          <w:szCs w:val="32"/>
          <w:shd w:val="clear" w:color="auto" w:fill="FFFFFF"/>
        </w:rPr>
        <w:t>不纳入资金监管范围的，交易双方签订《交易结算资金不纳入监管确认书》，并在《存量房买卖合同》相关条款中予以明确。</w:t>
      </w:r>
    </w:p>
    <w:p w14:paraId="405DF19A">
      <w:pPr>
        <w:spacing w:line="560" w:lineRule="exact"/>
        <w:ind w:firstLine="640" w:firstLineChars="200"/>
        <w:rPr>
          <w:rFonts w:ascii="仿宋" w:hAnsi="仿宋" w:eastAsia="仿宋" w:cs="仿宋"/>
          <w:color w:val="auto"/>
          <w:kern w:val="0"/>
          <w:sz w:val="32"/>
          <w:szCs w:val="32"/>
          <w:shd w:val="clear" w:color="auto" w:fill="FFFFFF"/>
        </w:rPr>
      </w:pPr>
      <w:r>
        <w:rPr>
          <w:rFonts w:hint="eastAsia" w:ascii="黑体" w:hAnsi="黑体" w:eastAsia="黑体" w:cs="黑体"/>
          <w:bCs/>
          <w:color w:val="auto"/>
          <w:kern w:val="0"/>
          <w:sz w:val="32"/>
          <w:szCs w:val="32"/>
          <w:shd w:val="clear" w:color="auto" w:fill="FFFFFF"/>
        </w:rPr>
        <w:t xml:space="preserve">第十五条  </w:t>
      </w:r>
      <w:r>
        <w:rPr>
          <w:rFonts w:hint="eastAsia" w:ascii="仿宋" w:hAnsi="仿宋" w:eastAsia="仿宋" w:cs="仿宋"/>
          <w:color w:val="auto"/>
          <w:sz w:val="32"/>
          <w:szCs w:val="32"/>
        </w:rPr>
        <w:t>存量房交易资金监管，实施机构仅对交易双方</w:t>
      </w:r>
      <w:r>
        <w:rPr>
          <w:rFonts w:hint="eastAsia" w:ascii="仿宋" w:hAnsi="仿宋" w:eastAsia="仿宋" w:cs="仿宋"/>
          <w:color w:val="auto"/>
          <w:kern w:val="0"/>
          <w:sz w:val="32"/>
          <w:szCs w:val="32"/>
          <w:shd w:val="clear" w:color="auto" w:fill="FFFFFF"/>
        </w:rPr>
        <w:t>身份信息及相关材料进行形式审查，</w:t>
      </w:r>
      <w:r>
        <w:rPr>
          <w:rFonts w:hint="eastAsia" w:ascii="仿宋" w:hAnsi="仿宋" w:eastAsia="仿宋" w:cs="仿宋"/>
          <w:color w:val="auto"/>
          <w:sz w:val="32"/>
          <w:szCs w:val="32"/>
        </w:rPr>
        <w:t>对于提交材料的真实性、合法性、有效性由交易双方自行负责。买方</w:t>
      </w:r>
      <w:r>
        <w:rPr>
          <w:rFonts w:hint="eastAsia" w:ascii="仿宋" w:hAnsi="仿宋" w:eastAsia="仿宋" w:cs="仿宋"/>
          <w:color w:val="auto"/>
          <w:kern w:val="0"/>
          <w:sz w:val="32"/>
          <w:szCs w:val="32"/>
          <w:shd w:val="clear" w:color="auto" w:fill="FFFFFF"/>
        </w:rPr>
        <w:t>或卖方委托代办的，还应提交公证机构出具的《委托公证书》。</w:t>
      </w:r>
    </w:p>
    <w:p w14:paraId="397D32E1">
      <w:pPr>
        <w:spacing w:line="560" w:lineRule="exact"/>
        <w:ind w:firstLine="640" w:firstLineChars="200"/>
        <w:rPr>
          <w:rFonts w:ascii="仿宋" w:hAnsi="仿宋" w:eastAsia="仿宋" w:cs="仿宋"/>
          <w:color w:val="auto"/>
          <w:sz w:val="32"/>
          <w:szCs w:val="32"/>
          <w:shd w:val="clear" w:color="auto" w:fill="FFFFFF"/>
        </w:rPr>
      </w:pPr>
      <w:r>
        <w:rPr>
          <w:rFonts w:hint="eastAsia" w:ascii="黑体" w:hAnsi="黑体" w:eastAsia="黑体" w:cs="黑体"/>
          <w:bCs/>
          <w:color w:val="auto"/>
          <w:kern w:val="0"/>
          <w:sz w:val="32"/>
          <w:szCs w:val="32"/>
          <w:shd w:val="clear" w:color="auto" w:fill="FFFFFF"/>
        </w:rPr>
        <w:t xml:space="preserve">第十六条  </w:t>
      </w:r>
      <w:r>
        <w:rPr>
          <w:rFonts w:hint="eastAsia" w:ascii="仿宋" w:hAnsi="仿宋" w:eastAsia="仿宋" w:cs="仿宋"/>
          <w:color w:val="auto"/>
          <w:sz w:val="32"/>
          <w:szCs w:val="32"/>
          <w:shd w:val="clear" w:color="auto" w:fill="FFFFFF"/>
        </w:rPr>
        <w:t xml:space="preserve">商业银行（或公积金）贷款审查核减贷款额度时，买方在办理房屋权属转移登记前，应一次性补足首付款并缴存至监管账户。 </w:t>
      </w:r>
    </w:p>
    <w:p w14:paraId="11B6D346">
      <w:pPr>
        <w:spacing w:line="560" w:lineRule="exact"/>
        <w:ind w:firstLine="640" w:firstLineChars="200"/>
        <w:rPr>
          <w:rFonts w:ascii="仿宋" w:hAnsi="仿宋" w:eastAsia="仿宋" w:cs="仿宋"/>
          <w:color w:val="auto"/>
          <w:sz w:val="32"/>
          <w:szCs w:val="32"/>
        </w:rPr>
      </w:pPr>
      <w:r>
        <w:rPr>
          <w:rFonts w:hint="eastAsia" w:ascii="黑体" w:hAnsi="黑体" w:eastAsia="黑体" w:cs="黑体"/>
          <w:bCs/>
          <w:color w:val="auto"/>
          <w:kern w:val="0"/>
          <w:sz w:val="32"/>
          <w:szCs w:val="32"/>
          <w:shd w:val="clear" w:color="auto" w:fill="FFFFFF"/>
        </w:rPr>
        <w:t xml:space="preserve">第十七条  </w:t>
      </w:r>
      <w:r>
        <w:rPr>
          <w:rFonts w:hint="eastAsia" w:ascii="仿宋" w:hAnsi="仿宋" w:eastAsia="仿宋" w:cs="仿宋"/>
          <w:color w:val="auto"/>
          <w:sz w:val="32"/>
          <w:szCs w:val="32"/>
        </w:rPr>
        <w:t>交易双方因房屋买卖行为产生的纠纷，由交易双方自行协商或通过法律途径解决。</w:t>
      </w:r>
    </w:p>
    <w:p w14:paraId="6693F95B">
      <w:pPr>
        <w:spacing w:line="560" w:lineRule="exact"/>
        <w:ind w:firstLine="640" w:firstLineChars="200"/>
        <w:rPr>
          <w:rFonts w:ascii="仿宋" w:hAnsi="仿宋" w:eastAsia="仿宋" w:cs="仿宋"/>
          <w:color w:val="auto"/>
          <w:sz w:val="32"/>
          <w:szCs w:val="32"/>
        </w:rPr>
      </w:pPr>
      <w:r>
        <w:rPr>
          <w:rFonts w:hint="eastAsia" w:ascii="黑体" w:hAnsi="黑体" w:eastAsia="黑体" w:cs="黑体"/>
          <w:bCs/>
          <w:color w:val="auto"/>
          <w:kern w:val="0"/>
          <w:sz w:val="32"/>
          <w:szCs w:val="32"/>
          <w:shd w:val="clear" w:color="auto" w:fill="FFFFFF"/>
        </w:rPr>
        <w:t xml:space="preserve">第十八条  </w:t>
      </w:r>
      <w:r>
        <w:rPr>
          <w:rFonts w:hint="eastAsia" w:ascii="仿宋_GB2312" w:hAnsi="仿宋_GB2312" w:eastAsia="仿宋_GB2312" w:cs="仿宋_GB2312"/>
          <w:color w:val="auto"/>
          <w:sz w:val="32"/>
          <w:szCs w:val="32"/>
          <w:shd w:val="clear" w:color="auto" w:fill="FFFFFF"/>
        </w:rPr>
        <w:t>监管银行有下列行为的，由其上级主管部门责令改正、追回款项；</w:t>
      </w:r>
      <w:r>
        <w:rPr>
          <w:rFonts w:hint="eastAsia" w:ascii="仿宋" w:hAnsi="仿宋" w:eastAsia="仿宋" w:cs="仿宋"/>
          <w:color w:val="auto"/>
          <w:sz w:val="32"/>
          <w:szCs w:val="32"/>
        </w:rPr>
        <w:t>造成损失的，依法承担相应法律责任。</w:t>
      </w:r>
    </w:p>
    <w:p w14:paraId="5BB66F1B">
      <w:pPr>
        <w:shd w:val="solid" w:color="FFFFFF" w:fill="auto"/>
        <w:autoSpaceDN w:val="0"/>
        <w:spacing w:line="560" w:lineRule="exact"/>
        <w:ind w:firstLine="640" w:firstLineChars="20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（一）未按规定将监管资金存入监管账户的;</w:t>
      </w:r>
    </w:p>
    <w:p w14:paraId="077B817F">
      <w:pPr>
        <w:shd w:val="solid" w:color="FFFFFF" w:fill="auto"/>
        <w:autoSpaceDN w:val="0"/>
        <w:spacing w:line="560" w:lineRule="exact"/>
        <w:ind w:firstLine="640" w:firstLineChars="20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（二）未经监管机构同意，擅自支付监管资金的;</w:t>
      </w:r>
    </w:p>
    <w:p w14:paraId="5CE07853">
      <w:pPr>
        <w:shd w:val="solid" w:color="FFFFFF" w:fill="auto"/>
        <w:autoSpaceDN w:val="0"/>
        <w:spacing w:line="560" w:lineRule="exact"/>
        <w:ind w:firstLine="640" w:firstLineChars="20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（三）擅自截留、挪用或者拖延支付监管资金的;</w:t>
      </w:r>
    </w:p>
    <w:p w14:paraId="00B96506">
      <w:pPr>
        <w:shd w:val="solid" w:color="FFFFFF" w:fill="auto"/>
        <w:autoSpaceDN w:val="0"/>
        <w:spacing w:line="560" w:lineRule="exact"/>
        <w:ind w:firstLine="640" w:firstLineChars="20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（四）其他违反本办法或者存量房交易结算资金三方监管协议的行为。</w:t>
      </w:r>
    </w:p>
    <w:p w14:paraId="09775ED2">
      <w:pPr>
        <w:shd w:val="solid" w:color="FFFFFF" w:fill="auto"/>
        <w:autoSpaceDN w:val="0"/>
        <w:spacing w:line="560" w:lineRule="exact"/>
        <w:ind w:firstLine="640" w:firstLineChars="200"/>
        <w:rPr>
          <w:rFonts w:ascii="仿宋" w:hAnsi="仿宋" w:eastAsia="仿宋" w:cs="仿宋"/>
          <w:color w:val="auto"/>
          <w:sz w:val="32"/>
          <w:szCs w:val="32"/>
        </w:rPr>
      </w:pPr>
      <w:r>
        <w:rPr>
          <w:rFonts w:hint="eastAsia" w:ascii="黑体" w:hAnsi="黑体" w:eastAsia="黑体" w:cs="黑体"/>
          <w:bCs/>
          <w:color w:val="auto"/>
          <w:kern w:val="0"/>
          <w:sz w:val="32"/>
          <w:szCs w:val="32"/>
          <w:shd w:val="clear" w:color="auto" w:fill="FFFFFF"/>
        </w:rPr>
        <w:t xml:space="preserve">第十九条  </w:t>
      </w:r>
      <w:r>
        <w:rPr>
          <w:rFonts w:hint="eastAsia" w:ascii="仿宋" w:hAnsi="仿宋" w:eastAsia="仿宋" w:cs="仿宋"/>
          <w:color w:val="auto"/>
          <w:sz w:val="32"/>
          <w:szCs w:val="32"/>
        </w:rPr>
        <w:t xml:space="preserve">房地产经纪机构及其从业人员在提供经纪服务过程中，有以下行为的，由住建部门约谈经纪机构负责人，责令限期整改；拒不整改或整改不符合要求的，暂停网签，记入房地产经纪机构及其从业人员不良信用记录；造成损失的，依法承担相应法律责任。 </w:t>
      </w:r>
    </w:p>
    <w:p w14:paraId="130DCAE8">
      <w:pPr>
        <w:spacing w:line="56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（一）未及时告知交易双方当事人资金监管的相关内容；</w:t>
      </w:r>
    </w:p>
    <w:p w14:paraId="45D301AE">
      <w:pPr>
        <w:spacing w:line="56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（二）违反规定直接或间接代收代管存量房交易资金；</w:t>
      </w:r>
    </w:p>
    <w:p w14:paraId="49A8664E">
      <w:pPr>
        <w:spacing w:line="56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（三）借资金监管或贷款审批之名收取代办服务费用；</w:t>
      </w:r>
    </w:p>
    <w:p w14:paraId="0DF50D73">
      <w:pPr>
        <w:shd w:val="solid" w:color="FFFFFF" w:fill="auto"/>
        <w:autoSpaceDN w:val="0"/>
        <w:spacing w:line="560" w:lineRule="exact"/>
        <w:ind w:firstLine="640" w:firstLineChars="200"/>
        <w:rPr>
          <w:rFonts w:ascii="仿宋_GB2312" w:hAnsi="仿宋_GB2312" w:eastAsia="仿宋_GB2312" w:cs="仿宋_GB2312"/>
          <w:color w:val="auto"/>
          <w:sz w:val="32"/>
          <w:szCs w:val="32"/>
          <w:shd w:val="clear" w:color="auto" w:fill="FFFFFF"/>
        </w:rPr>
      </w:pPr>
      <w:r>
        <w:rPr>
          <w:rFonts w:hint="eastAsia" w:ascii="仿宋" w:hAnsi="仿宋" w:eastAsia="仿宋" w:cs="仿宋"/>
          <w:color w:val="auto"/>
          <w:sz w:val="32"/>
          <w:szCs w:val="32"/>
        </w:rPr>
        <w:t>（四）</w:t>
      </w:r>
      <w:r>
        <w:rPr>
          <w:rFonts w:hint="eastAsia" w:ascii="仿宋_GB2312" w:hAnsi="仿宋_GB2312" w:eastAsia="仿宋_GB2312" w:cs="仿宋_GB2312"/>
          <w:color w:val="auto"/>
          <w:sz w:val="32"/>
          <w:szCs w:val="32"/>
          <w:shd w:val="clear" w:color="auto" w:fill="FFFFFF"/>
        </w:rPr>
        <w:t>其他违反本办法或者交易结算资金三方监管协议的行为。</w:t>
      </w:r>
    </w:p>
    <w:p w14:paraId="69BBD22A">
      <w:pPr>
        <w:shd w:val="solid" w:color="FFFFFF" w:fill="auto"/>
        <w:autoSpaceDN w:val="0"/>
        <w:spacing w:line="560" w:lineRule="exact"/>
        <w:ind w:firstLine="640" w:firstLineChars="200"/>
        <w:rPr>
          <w:rFonts w:ascii="仿宋" w:hAnsi="仿宋" w:eastAsia="仿宋" w:cs="仿宋"/>
          <w:color w:val="auto"/>
          <w:sz w:val="32"/>
          <w:szCs w:val="32"/>
        </w:rPr>
      </w:pPr>
      <w:r>
        <w:rPr>
          <w:rFonts w:hint="eastAsia" w:ascii="黑体" w:hAnsi="黑体" w:eastAsia="黑体" w:cs="黑体"/>
          <w:bCs/>
          <w:color w:val="auto"/>
          <w:kern w:val="0"/>
          <w:sz w:val="32"/>
          <w:szCs w:val="32"/>
          <w:shd w:val="clear" w:color="auto" w:fill="FFFFFF"/>
        </w:rPr>
        <w:t xml:space="preserve">第二十条  </w:t>
      </w:r>
      <w:r>
        <w:rPr>
          <w:rFonts w:hint="eastAsia" w:ascii="仿宋" w:hAnsi="仿宋" w:eastAsia="仿宋" w:cs="仿宋"/>
          <w:color w:val="auto"/>
          <w:sz w:val="32"/>
          <w:szCs w:val="32"/>
        </w:rPr>
        <w:t>存量房交易结算资金</w:t>
      </w:r>
      <w:r>
        <w:rPr>
          <w:rFonts w:hint="eastAsia" w:ascii="仿宋_GB2312" w:hAnsi="仿宋_GB2312" w:eastAsia="仿宋_GB2312" w:cs="仿宋_GB2312"/>
          <w:color w:val="auto"/>
          <w:sz w:val="32"/>
          <w:szCs w:val="32"/>
          <w:shd w:val="clear" w:color="auto" w:fill="FFFFFF"/>
        </w:rPr>
        <w:t>监管部门、实施机构的工作人员</w:t>
      </w:r>
      <w:r>
        <w:rPr>
          <w:rFonts w:hint="eastAsia" w:ascii="仿宋" w:hAnsi="仿宋" w:eastAsia="仿宋" w:cs="仿宋"/>
          <w:color w:val="auto"/>
          <w:sz w:val="32"/>
          <w:szCs w:val="32"/>
        </w:rPr>
        <w:t>在工作中违规操作、玩忽职守、滥用职权、徇私舞弊的，</w:t>
      </w:r>
      <w:r>
        <w:rPr>
          <w:rFonts w:hint="eastAsia" w:ascii="仿宋_GB2312" w:hAnsi="仿宋_GB2312" w:eastAsia="仿宋_GB2312" w:cs="仿宋_GB2312"/>
          <w:color w:val="auto"/>
          <w:sz w:val="32"/>
          <w:szCs w:val="32"/>
          <w:shd w:val="clear" w:color="auto" w:fill="FFFFFF"/>
        </w:rPr>
        <w:t>依法给予处分;构成犯罪的，依法追究刑事责任。</w:t>
      </w:r>
    </w:p>
    <w:p w14:paraId="5B1514E3">
      <w:pPr>
        <w:shd w:val="solid" w:color="FFFFFF" w:fill="auto"/>
        <w:autoSpaceDN w:val="0"/>
        <w:spacing w:line="560" w:lineRule="exact"/>
        <w:ind w:firstLine="640" w:firstLineChars="200"/>
        <w:rPr>
          <w:rFonts w:ascii="仿宋" w:hAnsi="仿宋" w:eastAsia="仿宋" w:cs="仿宋"/>
          <w:color w:val="auto"/>
          <w:sz w:val="32"/>
          <w:szCs w:val="32"/>
          <w:shd w:val="clear" w:color="auto" w:fill="FFFFFF"/>
        </w:rPr>
      </w:pPr>
      <w:r>
        <w:rPr>
          <w:rFonts w:hint="eastAsia" w:ascii="黑体" w:hAnsi="黑体" w:eastAsia="黑体" w:cs="黑体"/>
          <w:bCs/>
          <w:color w:val="auto"/>
          <w:kern w:val="0"/>
          <w:sz w:val="32"/>
          <w:szCs w:val="32"/>
          <w:shd w:val="clear" w:color="auto" w:fill="FFFFFF"/>
        </w:rPr>
        <w:t xml:space="preserve">第二十一条  </w:t>
      </w:r>
      <w:r>
        <w:rPr>
          <w:rFonts w:hint="eastAsia" w:ascii="仿宋" w:hAnsi="仿宋" w:eastAsia="仿宋" w:cs="仿宋"/>
          <w:color w:val="auto"/>
          <w:sz w:val="32"/>
          <w:szCs w:val="32"/>
          <w:shd w:val="clear" w:color="auto" w:fill="FFFFFF"/>
        </w:rPr>
        <w:t>本细则由景德镇市住房和城乡建设局负责解释。</w:t>
      </w:r>
    </w:p>
    <w:p w14:paraId="05718F47">
      <w:pPr>
        <w:shd w:val="solid" w:color="FFFFFF" w:fill="auto"/>
        <w:autoSpaceDN w:val="0"/>
        <w:spacing w:line="560" w:lineRule="exact"/>
        <w:ind w:firstLine="640" w:firstLineChars="200"/>
        <w:rPr>
          <w:rFonts w:ascii="仿宋" w:hAnsi="仿宋" w:eastAsia="仿宋" w:cs="仿宋"/>
          <w:color w:val="auto"/>
          <w:sz w:val="32"/>
          <w:szCs w:val="32"/>
          <w:shd w:val="clear" w:color="auto" w:fill="FFFFFF"/>
        </w:rPr>
      </w:pPr>
      <w:r>
        <w:rPr>
          <w:rFonts w:hint="eastAsia" w:ascii="黑体" w:hAnsi="黑体" w:eastAsia="黑体" w:cs="黑体"/>
          <w:bCs/>
          <w:color w:val="auto"/>
          <w:kern w:val="0"/>
          <w:sz w:val="32"/>
          <w:szCs w:val="32"/>
          <w:shd w:val="clear" w:color="auto" w:fill="FFFFFF"/>
        </w:rPr>
        <w:t xml:space="preserve">第二十二条  </w:t>
      </w:r>
      <w:r>
        <w:rPr>
          <w:rFonts w:hint="eastAsia" w:ascii="仿宋" w:hAnsi="仿宋" w:eastAsia="仿宋" w:cs="仿宋"/>
          <w:color w:val="auto"/>
          <w:sz w:val="32"/>
          <w:szCs w:val="32"/>
          <w:shd w:val="clear" w:color="auto" w:fill="FFFFFF"/>
        </w:rPr>
        <w:t>本细则自颁布之日起施行。</w:t>
      </w:r>
    </w:p>
    <w:p w14:paraId="13672A7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E049C7"/>
    <w:rsid w:val="6FE049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2025-02-18T07:43:00Z</dcterms:created>
  <dc:creator>hzj</dc:creator>
  <cp:lastModifiedBy>hzj</cp:lastModifiedBy>
  <dcterms:modified xsi:type="dcterms:W3CDTF">2025-02-18T07:44:03Z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05C6A164FC3F4099A7BCFEA69690BC88_11</vt:lpwstr>
  </property>
  <property fmtid="{D5CDD505-2E9C-101B-9397-08002B2CF9AE}" pid="4" name="KSOTemplateDocerSaveRecord">
    <vt:lpwstr>eyJoZGlkIjoiNjgzYmY0ZjllMzQ3MjQ5YzdlZmM5ODBkNDVjZDkzNWIiLCJ1c2VySWQiOiI0MTQzNTQxODYifQ==</vt:lpwstr>
  </property>
</Properties>
</file>