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7CB8B">
      <w:pPr>
        <w:jc w:val="center"/>
        <w:rPr>
          <w:rStyle w:val="5"/>
          <w:rFonts w:ascii="微软雅黑" w:hAnsi="微软雅黑" w:eastAsia="微软雅黑" w:cs="微软雅黑"/>
          <w:i w:val="0"/>
          <w:iCs w:val="0"/>
          <w:caps w:val="0"/>
          <w:color w:val="000000"/>
          <w:spacing w:val="0"/>
          <w:sz w:val="45"/>
          <w:szCs w:val="45"/>
          <w:shd w:val="clear" w:fill="FFFFFF"/>
        </w:rPr>
      </w:pPr>
      <w:r>
        <w:rPr>
          <w:rStyle w:val="5"/>
          <w:rFonts w:ascii="微软雅黑" w:hAnsi="微软雅黑" w:eastAsia="微软雅黑" w:cs="微软雅黑"/>
          <w:i w:val="0"/>
          <w:iCs w:val="0"/>
          <w:caps w:val="0"/>
          <w:color w:val="000000"/>
          <w:spacing w:val="0"/>
          <w:sz w:val="45"/>
          <w:szCs w:val="45"/>
          <w:shd w:val="clear" w:fill="FFFFFF"/>
        </w:rPr>
        <w:t>综合性涉企收费目录清单</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1215"/>
        <w:gridCol w:w="1706"/>
        <w:gridCol w:w="1129"/>
        <w:gridCol w:w="1110"/>
        <w:gridCol w:w="1626"/>
        <w:gridCol w:w="1289"/>
        <w:gridCol w:w="1289"/>
        <w:gridCol w:w="1289"/>
        <w:gridCol w:w="1776"/>
        <w:gridCol w:w="1289"/>
      </w:tblGrid>
      <w:tr w14:paraId="58C6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48706E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ascii="方正书宋_GBK" w:hAnsi="方正书宋_GBK" w:eastAsia="方正书宋_GBK" w:cs="方正书宋_GBK"/>
                <w:b/>
                <w:bCs/>
                <w:i w:val="0"/>
                <w:iCs w:val="0"/>
                <w:caps w:val="0"/>
                <w:color w:val="000000"/>
                <w:spacing w:val="0"/>
                <w:kern w:val="0"/>
                <w:sz w:val="21"/>
                <w:szCs w:val="21"/>
                <w:lang w:val="en-US" w:eastAsia="zh-CN" w:bidi="ar"/>
              </w:rPr>
              <w:t>序号</w:t>
            </w:r>
          </w:p>
        </w:tc>
        <w:tc>
          <w:tcPr>
            <w:tcW w:w="1215" w:type="dxa"/>
            <w:vAlign w:val="center"/>
          </w:tcPr>
          <w:p w14:paraId="2E6A87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部门名称</w:t>
            </w:r>
          </w:p>
        </w:tc>
        <w:tc>
          <w:tcPr>
            <w:tcW w:w="1706" w:type="dxa"/>
            <w:vAlign w:val="center"/>
          </w:tcPr>
          <w:p w14:paraId="164EAF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收费单位名称</w:t>
            </w:r>
          </w:p>
        </w:tc>
        <w:tc>
          <w:tcPr>
            <w:tcW w:w="1129" w:type="dxa"/>
            <w:vAlign w:val="center"/>
          </w:tcPr>
          <w:p w14:paraId="3E80DC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单位性质</w:t>
            </w:r>
          </w:p>
        </w:tc>
        <w:tc>
          <w:tcPr>
            <w:tcW w:w="1110" w:type="dxa"/>
            <w:vAlign w:val="center"/>
          </w:tcPr>
          <w:p w14:paraId="7CDADF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收费项目</w:t>
            </w:r>
          </w:p>
        </w:tc>
        <w:tc>
          <w:tcPr>
            <w:tcW w:w="1626" w:type="dxa"/>
            <w:vAlign w:val="center"/>
          </w:tcPr>
          <w:p w14:paraId="7996C5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收费性质</w:t>
            </w:r>
          </w:p>
        </w:tc>
        <w:tc>
          <w:tcPr>
            <w:tcW w:w="1289" w:type="dxa"/>
            <w:vAlign w:val="center"/>
          </w:tcPr>
          <w:p w14:paraId="414C53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both"/>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服务内容</w:t>
            </w:r>
            <w:r>
              <w:rPr>
                <w:rFonts w:hint="default" w:ascii="方正书宋_GBK" w:hAnsi="方正书宋_GBK" w:eastAsia="方正书宋_GBK" w:cs="方正书宋_GBK"/>
                <w:b/>
                <w:bCs/>
                <w:i w:val="0"/>
                <w:iCs w:val="0"/>
                <w:caps w:val="0"/>
                <w:color w:val="000000"/>
                <w:spacing w:val="0"/>
                <w:kern w:val="0"/>
                <w:sz w:val="21"/>
                <w:szCs w:val="21"/>
                <w:lang w:val="en-US" w:eastAsia="zh-CN" w:bidi="ar"/>
              </w:rPr>
              <w:br w:type="textWrapping"/>
            </w:r>
            <w:r>
              <w:rPr>
                <w:rFonts w:hint="default" w:ascii="方正书宋_GBK" w:hAnsi="方正书宋_GBK" w:eastAsia="方正书宋_GBK" w:cs="方正书宋_GBK"/>
                <w:b/>
                <w:bCs/>
                <w:i w:val="0"/>
                <w:iCs w:val="0"/>
                <w:caps w:val="0"/>
                <w:color w:val="000000"/>
                <w:spacing w:val="0"/>
                <w:kern w:val="0"/>
                <w:sz w:val="21"/>
                <w:szCs w:val="21"/>
                <w:lang w:val="en-US" w:eastAsia="zh-CN" w:bidi="ar"/>
              </w:rPr>
              <w:t>或涉及事项</w:t>
            </w:r>
          </w:p>
        </w:tc>
        <w:tc>
          <w:tcPr>
            <w:tcW w:w="1289" w:type="dxa"/>
            <w:vAlign w:val="center"/>
          </w:tcPr>
          <w:p w14:paraId="66C170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收费标准</w:t>
            </w:r>
          </w:p>
        </w:tc>
        <w:tc>
          <w:tcPr>
            <w:tcW w:w="1289" w:type="dxa"/>
            <w:vAlign w:val="center"/>
          </w:tcPr>
          <w:p w14:paraId="0D19AC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标准制定</w:t>
            </w:r>
            <w:r>
              <w:rPr>
                <w:rFonts w:hint="default" w:ascii="方正书宋_GBK" w:hAnsi="方正书宋_GBK" w:eastAsia="方正书宋_GBK" w:cs="方正书宋_GBK"/>
                <w:b/>
                <w:bCs/>
                <w:i w:val="0"/>
                <w:iCs w:val="0"/>
                <w:caps w:val="0"/>
                <w:color w:val="000000"/>
                <w:spacing w:val="0"/>
                <w:kern w:val="0"/>
                <w:sz w:val="21"/>
                <w:szCs w:val="21"/>
                <w:lang w:val="en-US" w:eastAsia="zh-CN" w:bidi="ar"/>
              </w:rPr>
              <w:br w:type="textWrapping"/>
            </w:r>
            <w:r>
              <w:rPr>
                <w:rFonts w:hint="default" w:ascii="方正书宋_GBK" w:hAnsi="方正书宋_GBK" w:eastAsia="方正书宋_GBK" w:cs="方正书宋_GBK"/>
                <w:b/>
                <w:bCs/>
                <w:i w:val="0"/>
                <w:iCs w:val="0"/>
                <w:caps w:val="0"/>
                <w:color w:val="000000"/>
                <w:spacing w:val="0"/>
                <w:kern w:val="0"/>
                <w:sz w:val="21"/>
                <w:szCs w:val="21"/>
                <w:lang w:val="en-US" w:eastAsia="zh-CN" w:bidi="ar"/>
              </w:rPr>
              <w:t>方式及部门</w:t>
            </w:r>
          </w:p>
        </w:tc>
        <w:tc>
          <w:tcPr>
            <w:tcW w:w="1776" w:type="dxa"/>
            <w:vAlign w:val="center"/>
          </w:tcPr>
          <w:p w14:paraId="3B076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政策依据</w:t>
            </w:r>
          </w:p>
        </w:tc>
        <w:tc>
          <w:tcPr>
            <w:tcW w:w="1289" w:type="dxa"/>
            <w:vAlign w:val="center"/>
          </w:tcPr>
          <w:p w14:paraId="3FF5EB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36"/>
                <w:szCs w:val="36"/>
                <w:shd w:val="clear" w:fill="FFFFFF"/>
                <w:vertAlign w:val="baseline"/>
              </w:rPr>
            </w:pPr>
            <w:r>
              <w:rPr>
                <w:rFonts w:hint="default" w:ascii="方正书宋_GBK" w:hAnsi="方正书宋_GBK" w:eastAsia="方正书宋_GBK" w:cs="方正书宋_GBK"/>
                <w:b/>
                <w:bCs/>
                <w:i w:val="0"/>
                <w:iCs w:val="0"/>
                <w:caps w:val="0"/>
                <w:color w:val="000000"/>
                <w:spacing w:val="0"/>
                <w:kern w:val="0"/>
                <w:sz w:val="21"/>
                <w:szCs w:val="21"/>
                <w:lang w:val="en-US" w:eastAsia="zh-CN" w:bidi="ar"/>
              </w:rPr>
              <w:t>备注</w:t>
            </w:r>
          </w:p>
        </w:tc>
      </w:tr>
      <w:tr w14:paraId="2749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0" w:hRule="atLeast"/>
        </w:trPr>
        <w:tc>
          <w:tcPr>
            <w:tcW w:w="943" w:type="dxa"/>
            <w:vAlign w:val="center"/>
          </w:tcPr>
          <w:p w14:paraId="722107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hint="default" w:ascii="微软雅黑" w:hAnsi="微软雅黑" w:eastAsia="微软雅黑" w:cs="微软雅黑"/>
                <w:i w:val="0"/>
                <w:iCs w:val="0"/>
                <w:caps w:val="0"/>
                <w:color w:val="000000"/>
                <w:spacing w:val="0"/>
                <w:sz w:val="44"/>
                <w:szCs w:val="44"/>
                <w:shd w:val="clear" w:fill="FFFFFF"/>
                <w:vertAlign w:val="baseline"/>
                <w:lang w:val="en-US" w:eastAsia="zh-CN"/>
              </w:rPr>
            </w:pPr>
            <w:r>
              <w:rPr>
                <w:rFonts w:hint="eastAsia" w:ascii="宋体" w:hAnsi="宋体" w:eastAsia="宋体" w:cs="宋体"/>
                <w:i w:val="0"/>
                <w:iCs w:val="0"/>
                <w:caps w:val="0"/>
                <w:color w:val="000000"/>
                <w:spacing w:val="0"/>
                <w:kern w:val="0"/>
                <w:sz w:val="22"/>
                <w:szCs w:val="22"/>
                <w:lang w:val="en-US" w:eastAsia="zh-CN" w:bidi="ar"/>
              </w:rPr>
              <w:t>1</w:t>
            </w:r>
          </w:p>
        </w:tc>
        <w:tc>
          <w:tcPr>
            <w:tcW w:w="1215" w:type="dxa"/>
            <w:vAlign w:val="center"/>
          </w:tcPr>
          <w:p w14:paraId="377930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江西省景德镇水务有限责任公司</w:t>
            </w:r>
          </w:p>
        </w:tc>
        <w:tc>
          <w:tcPr>
            <w:tcW w:w="1706" w:type="dxa"/>
            <w:vAlign w:val="center"/>
          </w:tcPr>
          <w:p w14:paraId="267549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本级</w:t>
            </w:r>
          </w:p>
        </w:tc>
        <w:tc>
          <w:tcPr>
            <w:tcW w:w="1129" w:type="dxa"/>
            <w:vAlign w:val="center"/>
          </w:tcPr>
          <w:p w14:paraId="57D4C1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企业</w:t>
            </w:r>
          </w:p>
        </w:tc>
        <w:tc>
          <w:tcPr>
            <w:tcW w:w="1110" w:type="dxa"/>
            <w:vAlign w:val="center"/>
          </w:tcPr>
          <w:p w14:paraId="5E9621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污水处理费（代收）</w:t>
            </w:r>
          </w:p>
        </w:tc>
        <w:tc>
          <w:tcPr>
            <w:tcW w:w="1626" w:type="dxa"/>
            <w:vAlign w:val="center"/>
          </w:tcPr>
          <w:p w14:paraId="68F1BC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政府定价的经营服务收费</w:t>
            </w:r>
          </w:p>
        </w:tc>
        <w:tc>
          <w:tcPr>
            <w:tcW w:w="1289" w:type="dxa"/>
            <w:vAlign w:val="center"/>
          </w:tcPr>
          <w:p w14:paraId="20FF3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污水处理费（代收）</w:t>
            </w:r>
          </w:p>
        </w:tc>
        <w:tc>
          <w:tcPr>
            <w:tcW w:w="1289" w:type="dxa"/>
            <w:vAlign w:val="center"/>
          </w:tcPr>
          <w:p w14:paraId="2FDF01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1.居民用水：0.95元/吨；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2.非居民用水1.40元/吨；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3.特种行业用水1.60元/吨；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4.使用自备水源的用水户，根据用水户的用途分别参照上述标准执行。</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学校（幼儿园、托儿所）教学和学生食堂、宿舍（公寓）等生活用水，养老机构、社会福利院、社区办公场所、城乡社区居民委员会等非居民用户执行居民污水处理费收费标准。</w:t>
            </w:r>
          </w:p>
        </w:tc>
        <w:tc>
          <w:tcPr>
            <w:tcW w:w="1289" w:type="dxa"/>
            <w:vAlign w:val="center"/>
          </w:tcPr>
          <w:p w14:paraId="2A4FE7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政府制定：景德镇市发展和改革委员会，景德镇市财政局，景德镇市住房和城乡建设局</w:t>
            </w:r>
          </w:p>
        </w:tc>
        <w:tc>
          <w:tcPr>
            <w:tcW w:w="1776" w:type="dxa"/>
            <w:vAlign w:val="center"/>
          </w:tcPr>
          <w:p w14:paraId="500E5E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景发改价格字﹝2018﹞151号</w:t>
            </w:r>
          </w:p>
        </w:tc>
        <w:tc>
          <w:tcPr>
            <w:tcW w:w="1289" w:type="dxa"/>
            <w:vAlign w:val="center"/>
          </w:tcPr>
          <w:p w14:paraId="628A82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代收</w:t>
            </w:r>
          </w:p>
        </w:tc>
      </w:tr>
      <w:tr w14:paraId="4DF5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67D087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Fonts w:hint="eastAsia" w:ascii="宋体" w:hAnsi="宋体" w:eastAsia="宋体" w:cs="宋体"/>
                <w:i w:val="0"/>
                <w:iCs w:val="0"/>
                <w:caps w:val="0"/>
                <w:color w:val="000000"/>
                <w:spacing w:val="0"/>
                <w:kern w:val="0"/>
                <w:sz w:val="22"/>
                <w:szCs w:val="22"/>
                <w:lang w:val="en-US" w:eastAsia="zh-CN" w:bidi="ar"/>
              </w:rPr>
            </w:pPr>
            <w:r>
              <w:rPr>
                <w:rFonts w:hint="eastAsia" w:ascii="宋体" w:hAnsi="宋体" w:eastAsia="宋体" w:cs="宋体"/>
                <w:i w:val="0"/>
                <w:iCs w:val="0"/>
                <w:caps w:val="0"/>
                <w:color w:val="000000"/>
                <w:spacing w:val="0"/>
                <w:kern w:val="0"/>
                <w:sz w:val="22"/>
                <w:szCs w:val="22"/>
                <w:lang w:val="en-US" w:eastAsia="zh-CN" w:bidi="ar"/>
              </w:rPr>
              <w:t>2</w:t>
            </w:r>
          </w:p>
        </w:tc>
        <w:tc>
          <w:tcPr>
            <w:tcW w:w="1215" w:type="dxa"/>
            <w:vAlign w:val="center"/>
          </w:tcPr>
          <w:p w14:paraId="5F7ECC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江西省景德镇水务有限责任公司</w:t>
            </w:r>
          </w:p>
        </w:tc>
        <w:tc>
          <w:tcPr>
            <w:tcW w:w="1706" w:type="dxa"/>
            <w:vAlign w:val="center"/>
          </w:tcPr>
          <w:p w14:paraId="3D9BE6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本级</w:t>
            </w:r>
          </w:p>
        </w:tc>
        <w:tc>
          <w:tcPr>
            <w:tcW w:w="1129" w:type="dxa"/>
            <w:vAlign w:val="center"/>
          </w:tcPr>
          <w:p w14:paraId="66D4D4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企业</w:t>
            </w:r>
          </w:p>
        </w:tc>
        <w:tc>
          <w:tcPr>
            <w:tcW w:w="1110" w:type="dxa"/>
            <w:vAlign w:val="center"/>
          </w:tcPr>
          <w:p w14:paraId="671104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水费</w:t>
            </w:r>
          </w:p>
        </w:tc>
        <w:tc>
          <w:tcPr>
            <w:tcW w:w="1626" w:type="dxa"/>
            <w:vAlign w:val="center"/>
          </w:tcPr>
          <w:p w14:paraId="79146C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政府定价的经营服务收费</w:t>
            </w:r>
          </w:p>
        </w:tc>
        <w:tc>
          <w:tcPr>
            <w:tcW w:w="1289" w:type="dxa"/>
            <w:vAlign w:val="center"/>
          </w:tcPr>
          <w:p w14:paraId="4751CD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水费</w:t>
            </w:r>
          </w:p>
        </w:tc>
        <w:tc>
          <w:tcPr>
            <w:tcW w:w="1289" w:type="dxa"/>
            <w:vAlign w:val="center"/>
          </w:tcPr>
          <w:p w14:paraId="5D9DDD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1.居民用水（含水资源费）：</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（1）一阶梯用水1.48元/吨，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（2）二阶梯用水2.22元/吨，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（3）三阶梯用水4.44元/吨；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2.非居民用水（含水资源费）：</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（1）工业用水2.10元/吨，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（2）行政事业用水2.22元/吨，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（3）基建经营用水2.22元/吨；</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3.特种行业用水7元/吨（含水资源费）；</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居民用水基数：每户5人（含5人）以下居民一阶梯用水量为30吨/月，居民二阶梯用水量为31-50吨/月，居民三阶梯用水量为51吨/月以上；5人以上家庭每增加一人每月每阶梯用水基数可相应增加5吨。</w:t>
            </w:r>
          </w:p>
        </w:tc>
        <w:tc>
          <w:tcPr>
            <w:tcW w:w="1289" w:type="dxa"/>
            <w:vAlign w:val="center"/>
          </w:tcPr>
          <w:p w14:paraId="4F8493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政府制定：景德镇市发展和改革委员会</w:t>
            </w:r>
          </w:p>
        </w:tc>
        <w:tc>
          <w:tcPr>
            <w:tcW w:w="1776" w:type="dxa"/>
            <w:vAlign w:val="center"/>
          </w:tcPr>
          <w:p w14:paraId="2562E4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景发改审收费字﹝2015﹞125号，景发改审收费字﹝2016﹞92号</w:t>
            </w:r>
          </w:p>
        </w:tc>
        <w:tc>
          <w:tcPr>
            <w:tcW w:w="1289" w:type="dxa"/>
            <w:vAlign w:val="center"/>
          </w:tcPr>
          <w:p w14:paraId="03AB450A">
            <w:pPr>
              <w:jc w:val="both"/>
              <w:rPr>
                <w:rStyle w:val="5"/>
                <w:rFonts w:ascii="微软雅黑" w:hAnsi="微软雅黑" w:eastAsia="微软雅黑" w:cs="微软雅黑"/>
                <w:i w:val="0"/>
                <w:iCs w:val="0"/>
                <w:caps w:val="0"/>
                <w:color w:val="000000"/>
                <w:spacing w:val="0"/>
                <w:sz w:val="44"/>
                <w:szCs w:val="44"/>
                <w:shd w:val="clear" w:fill="FFFFFF"/>
                <w:vertAlign w:val="baseline"/>
              </w:rPr>
            </w:pPr>
          </w:p>
        </w:tc>
      </w:tr>
      <w:tr w14:paraId="7E9C3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17EED7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Fonts w:hint="eastAsia" w:ascii="宋体" w:hAnsi="宋体" w:eastAsia="宋体" w:cs="宋体"/>
                <w:i w:val="0"/>
                <w:iCs w:val="0"/>
                <w:caps w:val="0"/>
                <w:color w:val="000000"/>
                <w:spacing w:val="0"/>
                <w:kern w:val="0"/>
                <w:sz w:val="22"/>
                <w:szCs w:val="22"/>
                <w:lang w:val="en-US" w:eastAsia="zh-CN" w:bidi="ar"/>
              </w:rPr>
            </w:pPr>
            <w:r>
              <w:rPr>
                <w:rFonts w:hint="eastAsia" w:ascii="宋体" w:hAnsi="宋体" w:eastAsia="宋体" w:cs="宋体"/>
                <w:i w:val="0"/>
                <w:iCs w:val="0"/>
                <w:caps w:val="0"/>
                <w:color w:val="000000"/>
                <w:spacing w:val="0"/>
                <w:kern w:val="0"/>
                <w:sz w:val="22"/>
                <w:szCs w:val="22"/>
                <w:lang w:val="en-US" w:eastAsia="zh-CN" w:bidi="ar"/>
              </w:rPr>
              <w:t>3</w:t>
            </w:r>
          </w:p>
        </w:tc>
        <w:tc>
          <w:tcPr>
            <w:tcW w:w="1215" w:type="dxa"/>
            <w:vAlign w:val="center"/>
          </w:tcPr>
          <w:p w14:paraId="109638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江西省景德镇水务有限责任公司</w:t>
            </w:r>
          </w:p>
        </w:tc>
        <w:tc>
          <w:tcPr>
            <w:tcW w:w="1706" w:type="dxa"/>
            <w:vAlign w:val="center"/>
          </w:tcPr>
          <w:p w14:paraId="7385EE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本级</w:t>
            </w:r>
          </w:p>
        </w:tc>
        <w:tc>
          <w:tcPr>
            <w:tcW w:w="1129" w:type="dxa"/>
            <w:vAlign w:val="center"/>
          </w:tcPr>
          <w:p w14:paraId="5FD148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企业</w:t>
            </w:r>
          </w:p>
        </w:tc>
        <w:tc>
          <w:tcPr>
            <w:tcW w:w="1110" w:type="dxa"/>
            <w:vAlign w:val="center"/>
          </w:tcPr>
          <w:p w14:paraId="121808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二次供水加压费</w:t>
            </w:r>
          </w:p>
        </w:tc>
        <w:tc>
          <w:tcPr>
            <w:tcW w:w="1626" w:type="dxa"/>
            <w:vAlign w:val="center"/>
          </w:tcPr>
          <w:p w14:paraId="65304A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政府定价的经营服务收费</w:t>
            </w:r>
          </w:p>
        </w:tc>
        <w:tc>
          <w:tcPr>
            <w:tcW w:w="1289" w:type="dxa"/>
            <w:vAlign w:val="center"/>
          </w:tcPr>
          <w:p w14:paraId="7D1182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二次供水加压费</w:t>
            </w:r>
          </w:p>
        </w:tc>
        <w:tc>
          <w:tcPr>
            <w:tcW w:w="1289" w:type="dxa"/>
            <w:vAlign w:val="center"/>
          </w:tcPr>
          <w:p w14:paraId="5497D6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城市规划区范围内由江西省景德镇水务有限责任公司旗下子公司开源二次供水服务有限公司负责管理的小区：</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1.二次供水（二次加压）收费标准1元/立方米；</w:t>
            </w:r>
            <w:r>
              <w:rPr>
                <w:rFonts w:hint="eastAsia" w:ascii="宋体" w:hAnsi="宋体" w:eastAsia="宋体" w:cs="宋体"/>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2.二次供水（三次加压）收费标准1.26元/立方米。</w:t>
            </w:r>
          </w:p>
        </w:tc>
        <w:tc>
          <w:tcPr>
            <w:tcW w:w="1289" w:type="dxa"/>
            <w:vAlign w:val="center"/>
          </w:tcPr>
          <w:p w14:paraId="38DA6E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政府制定：景德镇市发展和改革委员会</w:t>
            </w:r>
          </w:p>
        </w:tc>
        <w:tc>
          <w:tcPr>
            <w:tcW w:w="1776" w:type="dxa"/>
            <w:vAlign w:val="center"/>
          </w:tcPr>
          <w:p w14:paraId="085173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景发改价格字﹝</w:t>
            </w:r>
            <w:r>
              <w:rPr>
                <w:rFonts w:hint="default" w:ascii="Times New Roman" w:hAnsi="Times New Roman" w:eastAsia="微软雅黑" w:cs="Times New Roman"/>
                <w:i w:val="0"/>
                <w:iCs w:val="0"/>
                <w:caps w:val="0"/>
                <w:color w:val="000000"/>
                <w:spacing w:val="0"/>
                <w:kern w:val="0"/>
                <w:sz w:val="22"/>
                <w:szCs w:val="22"/>
                <w:lang w:val="en-US" w:eastAsia="zh-CN" w:bidi="ar"/>
              </w:rPr>
              <w:t>2019</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t>96</w:t>
            </w:r>
            <w:r>
              <w:rPr>
                <w:rFonts w:hint="eastAsia" w:ascii="宋体" w:hAnsi="宋体" w:eastAsia="宋体" w:cs="宋体"/>
                <w:i w:val="0"/>
                <w:iCs w:val="0"/>
                <w:caps w:val="0"/>
                <w:color w:val="000000"/>
                <w:spacing w:val="0"/>
                <w:kern w:val="0"/>
                <w:sz w:val="22"/>
                <w:szCs w:val="22"/>
                <w:lang w:val="en-US" w:eastAsia="zh-CN" w:bidi="ar"/>
              </w:rPr>
              <w:t>号</w:t>
            </w:r>
          </w:p>
        </w:tc>
        <w:tc>
          <w:tcPr>
            <w:tcW w:w="1289" w:type="dxa"/>
            <w:vAlign w:val="center"/>
          </w:tcPr>
          <w:p w14:paraId="0BA73077">
            <w:pPr>
              <w:jc w:val="both"/>
              <w:rPr>
                <w:rStyle w:val="5"/>
                <w:rFonts w:ascii="微软雅黑" w:hAnsi="微软雅黑" w:eastAsia="微软雅黑" w:cs="微软雅黑"/>
                <w:i w:val="0"/>
                <w:iCs w:val="0"/>
                <w:caps w:val="0"/>
                <w:color w:val="000000"/>
                <w:spacing w:val="0"/>
                <w:sz w:val="44"/>
                <w:szCs w:val="44"/>
                <w:shd w:val="clear" w:fill="FFFFFF"/>
                <w:vertAlign w:val="baseline"/>
              </w:rPr>
            </w:pPr>
          </w:p>
        </w:tc>
      </w:tr>
      <w:tr w14:paraId="01FFA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2BFBC6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Fonts w:hint="eastAsia" w:ascii="宋体" w:hAnsi="宋体" w:eastAsia="宋体" w:cs="宋体"/>
                <w:i w:val="0"/>
                <w:iCs w:val="0"/>
                <w:caps w:val="0"/>
                <w:color w:val="000000"/>
                <w:spacing w:val="0"/>
                <w:kern w:val="0"/>
                <w:sz w:val="22"/>
                <w:szCs w:val="22"/>
                <w:lang w:val="en-US" w:eastAsia="zh-CN" w:bidi="ar"/>
              </w:rPr>
            </w:pPr>
            <w:r>
              <w:rPr>
                <w:rFonts w:hint="eastAsia" w:ascii="宋体" w:hAnsi="宋体" w:eastAsia="宋体" w:cs="宋体"/>
                <w:i w:val="0"/>
                <w:iCs w:val="0"/>
                <w:caps w:val="0"/>
                <w:color w:val="000000"/>
                <w:spacing w:val="0"/>
                <w:kern w:val="0"/>
                <w:sz w:val="22"/>
                <w:szCs w:val="22"/>
                <w:lang w:val="en-US" w:eastAsia="zh-CN" w:bidi="ar"/>
              </w:rPr>
              <w:t>4</w:t>
            </w:r>
          </w:p>
        </w:tc>
        <w:tc>
          <w:tcPr>
            <w:tcW w:w="1215" w:type="dxa"/>
            <w:vAlign w:val="center"/>
          </w:tcPr>
          <w:p w14:paraId="3FB27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江西省景德镇水务有限责任公司</w:t>
            </w:r>
          </w:p>
        </w:tc>
        <w:tc>
          <w:tcPr>
            <w:tcW w:w="1706" w:type="dxa"/>
            <w:vAlign w:val="center"/>
          </w:tcPr>
          <w:p w14:paraId="14B04B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本级</w:t>
            </w:r>
          </w:p>
        </w:tc>
        <w:tc>
          <w:tcPr>
            <w:tcW w:w="1129" w:type="dxa"/>
            <w:vAlign w:val="center"/>
          </w:tcPr>
          <w:p w14:paraId="5A683B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企业</w:t>
            </w:r>
          </w:p>
        </w:tc>
        <w:tc>
          <w:tcPr>
            <w:tcW w:w="1110" w:type="dxa"/>
            <w:vAlign w:val="center"/>
          </w:tcPr>
          <w:p w14:paraId="759C9F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非居民用水超定额超计划累进加价制度水费</w:t>
            </w:r>
          </w:p>
        </w:tc>
        <w:tc>
          <w:tcPr>
            <w:tcW w:w="1626" w:type="dxa"/>
            <w:vAlign w:val="center"/>
          </w:tcPr>
          <w:p w14:paraId="1C9E8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行政事业性收费</w:t>
            </w:r>
          </w:p>
        </w:tc>
        <w:tc>
          <w:tcPr>
            <w:tcW w:w="1289" w:type="dxa"/>
            <w:vAlign w:val="center"/>
          </w:tcPr>
          <w:p w14:paraId="142074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非居民用水超定额超计划累进加价制度水费</w:t>
            </w:r>
          </w:p>
        </w:tc>
        <w:tc>
          <w:tcPr>
            <w:tcW w:w="1289" w:type="dxa"/>
            <w:vAlign w:val="center"/>
          </w:tcPr>
          <w:p w14:paraId="064B82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default" w:ascii="Times New Roman" w:hAnsi="Times New Roman" w:eastAsia="微软雅黑" w:cs="Times New Roman"/>
                <w:i w:val="0"/>
                <w:iCs w:val="0"/>
                <w:caps w:val="0"/>
                <w:color w:val="000000"/>
                <w:spacing w:val="0"/>
                <w:kern w:val="0"/>
                <w:sz w:val="22"/>
                <w:szCs w:val="22"/>
                <w:lang w:val="en-US" w:eastAsia="zh-CN" w:bidi="ar"/>
              </w:rPr>
              <w:t>1.</w:t>
            </w:r>
            <w:r>
              <w:rPr>
                <w:rFonts w:hint="eastAsia" w:ascii="宋体" w:hAnsi="宋体" w:eastAsia="宋体" w:cs="宋体"/>
                <w:i w:val="0"/>
                <w:iCs w:val="0"/>
                <w:caps w:val="0"/>
                <w:color w:val="000000"/>
                <w:spacing w:val="0"/>
                <w:kern w:val="0"/>
                <w:sz w:val="22"/>
                <w:szCs w:val="22"/>
                <w:lang w:val="en-US" w:eastAsia="zh-CN" w:bidi="ar"/>
              </w:rPr>
              <w:t>超定额（超计划）</w:t>
            </w:r>
            <w:r>
              <w:rPr>
                <w:rFonts w:hint="default" w:ascii="Times New Roman" w:hAnsi="Times New Roman" w:eastAsia="微软雅黑" w:cs="Times New Roman"/>
                <w:i w:val="0"/>
                <w:iCs w:val="0"/>
                <w:caps w:val="0"/>
                <w:color w:val="000000"/>
                <w:spacing w:val="0"/>
                <w:kern w:val="0"/>
                <w:sz w:val="22"/>
                <w:szCs w:val="22"/>
                <w:lang w:val="en-US" w:eastAsia="zh-CN" w:bidi="ar"/>
              </w:rPr>
              <w:t>20%</w:t>
            </w:r>
            <w:r>
              <w:rPr>
                <w:rFonts w:hint="eastAsia" w:ascii="宋体" w:hAnsi="宋体" w:eastAsia="宋体" w:cs="宋体"/>
                <w:i w:val="0"/>
                <w:iCs w:val="0"/>
                <w:caps w:val="0"/>
                <w:color w:val="000000"/>
                <w:spacing w:val="0"/>
                <w:kern w:val="0"/>
                <w:sz w:val="22"/>
                <w:szCs w:val="22"/>
                <w:lang w:val="en-US" w:eastAsia="zh-CN" w:bidi="ar"/>
              </w:rPr>
              <w:t>（含）以内的水量加价</w:t>
            </w:r>
            <w:r>
              <w:rPr>
                <w:rFonts w:hint="default" w:ascii="Times New Roman" w:hAnsi="Times New Roman" w:eastAsia="微软雅黑" w:cs="Times New Roman"/>
                <w:i w:val="0"/>
                <w:iCs w:val="0"/>
                <w:caps w:val="0"/>
                <w:color w:val="000000"/>
                <w:spacing w:val="0"/>
                <w:kern w:val="0"/>
                <w:sz w:val="22"/>
                <w:szCs w:val="22"/>
                <w:lang w:val="en-US" w:eastAsia="zh-CN" w:bidi="ar"/>
              </w:rPr>
              <w:t>25%</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br w:type="textWrapping"/>
            </w:r>
            <w:r>
              <w:rPr>
                <w:rFonts w:hint="default" w:ascii="Times New Roman" w:hAnsi="Times New Roman" w:eastAsia="微软雅黑" w:cs="Times New Roman"/>
                <w:i w:val="0"/>
                <w:iCs w:val="0"/>
                <w:caps w:val="0"/>
                <w:color w:val="000000"/>
                <w:spacing w:val="0"/>
                <w:kern w:val="0"/>
                <w:sz w:val="22"/>
                <w:szCs w:val="22"/>
                <w:lang w:val="en-US" w:eastAsia="zh-CN" w:bidi="ar"/>
              </w:rPr>
              <w:t>2.</w:t>
            </w:r>
            <w:r>
              <w:rPr>
                <w:rFonts w:hint="eastAsia" w:ascii="宋体" w:hAnsi="宋体" w:eastAsia="宋体" w:cs="宋体"/>
                <w:i w:val="0"/>
                <w:iCs w:val="0"/>
                <w:caps w:val="0"/>
                <w:color w:val="000000"/>
                <w:spacing w:val="0"/>
                <w:kern w:val="0"/>
                <w:sz w:val="22"/>
                <w:szCs w:val="22"/>
                <w:lang w:val="en-US" w:eastAsia="zh-CN" w:bidi="ar"/>
              </w:rPr>
              <w:t>超定额（超计划）</w:t>
            </w:r>
            <w:r>
              <w:rPr>
                <w:rFonts w:hint="default" w:ascii="Times New Roman" w:hAnsi="Times New Roman" w:eastAsia="微软雅黑" w:cs="Times New Roman"/>
                <w:i w:val="0"/>
                <w:iCs w:val="0"/>
                <w:caps w:val="0"/>
                <w:color w:val="000000"/>
                <w:spacing w:val="0"/>
                <w:kern w:val="0"/>
                <w:sz w:val="22"/>
                <w:szCs w:val="22"/>
                <w:lang w:val="en-US" w:eastAsia="zh-CN" w:bidi="ar"/>
              </w:rPr>
              <w:t>20%</w:t>
            </w:r>
            <w:r>
              <w:rPr>
                <w:rFonts w:hint="eastAsia" w:ascii="宋体" w:hAnsi="宋体" w:eastAsia="宋体" w:cs="宋体"/>
                <w:i w:val="0"/>
                <w:iCs w:val="0"/>
                <w:caps w:val="0"/>
                <w:color w:val="000000"/>
                <w:spacing w:val="0"/>
                <w:kern w:val="0"/>
                <w:sz w:val="22"/>
                <w:szCs w:val="22"/>
                <w:lang w:val="en-US" w:eastAsia="zh-CN" w:bidi="ar"/>
              </w:rPr>
              <w:t>至</w:t>
            </w:r>
            <w:r>
              <w:rPr>
                <w:rFonts w:hint="default" w:ascii="Times New Roman" w:hAnsi="Times New Roman" w:eastAsia="微软雅黑" w:cs="Times New Roman"/>
                <w:i w:val="0"/>
                <w:iCs w:val="0"/>
                <w:caps w:val="0"/>
                <w:color w:val="000000"/>
                <w:spacing w:val="0"/>
                <w:kern w:val="0"/>
                <w:sz w:val="22"/>
                <w:szCs w:val="22"/>
                <w:lang w:val="en-US" w:eastAsia="zh-CN" w:bidi="ar"/>
              </w:rPr>
              <w:t>40%</w:t>
            </w:r>
            <w:r>
              <w:rPr>
                <w:rFonts w:hint="eastAsia" w:ascii="宋体" w:hAnsi="宋体" w:eastAsia="宋体" w:cs="宋体"/>
                <w:i w:val="0"/>
                <w:iCs w:val="0"/>
                <w:caps w:val="0"/>
                <w:color w:val="000000"/>
                <w:spacing w:val="0"/>
                <w:kern w:val="0"/>
                <w:sz w:val="22"/>
                <w:szCs w:val="22"/>
                <w:lang w:val="en-US" w:eastAsia="zh-CN" w:bidi="ar"/>
              </w:rPr>
              <w:t>（含）的水量加价</w:t>
            </w:r>
            <w:r>
              <w:rPr>
                <w:rFonts w:hint="default" w:ascii="Times New Roman" w:hAnsi="Times New Roman" w:eastAsia="微软雅黑" w:cs="Times New Roman"/>
                <w:i w:val="0"/>
                <w:iCs w:val="0"/>
                <w:caps w:val="0"/>
                <w:color w:val="000000"/>
                <w:spacing w:val="0"/>
                <w:kern w:val="0"/>
                <w:sz w:val="22"/>
                <w:szCs w:val="22"/>
                <w:lang w:val="en-US" w:eastAsia="zh-CN" w:bidi="ar"/>
              </w:rPr>
              <w:t>50%</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br w:type="textWrapping"/>
            </w:r>
            <w:r>
              <w:rPr>
                <w:rFonts w:hint="default" w:ascii="Times New Roman" w:hAnsi="Times New Roman" w:eastAsia="微软雅黑" w:cs="Times New Roman"/>
                <w:i w:val="0"/>
                <w:iCs w:val="0"/>
                <w:caps w:val="0"/>
                <w:color w:val="000000"/>
                <w:spacing w:val="0"/>
                <w:kern w:val="0"/>
                <w:sz w:val="22"/>
                <w:szCs w:val="22"/>
                <w:lang w:val="en-US" w:eastAsia="zh-CN" w:bidi="ar"/>
              </w:rPr>
              <w:t>3.</w:t>
            </w:r>
            <w:r>
              <w:rPr>
                <w:rFonts w:hint="eastAsia" w:ascii="宋体" w:hAnsi="宋体" w:eastAsia="宋体" w:cs="宋体"/>
                <w:i w:val="0"/>
                <w:iCs w:val="0"/>
                <w:caps w:val="0"/>
                <w:color w:val="000000"/>
                <w:spacing w:val="0"/>
                <w:kern w:val="0"/>
                <w:sz w:val="22"/>
                <w:szCs w:val="22"/>
                <w:lang w:val="en-US" w:eastAsia="zh-CN" w:bidi="ar"/>
              </w:rPr>
              <w:t>超定额（超计划）</w:t>
            </w:r>
            <w:r>
              <w:rPr>
                <w:rFonts w:hint="default" w:ascii="Times New Roman" w:hAnsi="Times New Roman" w:eastAsia="微软雅黑" w:cs="Times New Roman"/>
                <w:i w:val="0"/>
                <w:iCs w:val="0"/>
                <w:caps w:val="0"/>
                <w:color w:val="000000"/>
                <w:spacing w:val="0"/>
                <w:kern w:val="0"/>
                <w:sz w:val="22"/>
                <w:szCs w:val="22"/>
                <w:lang w:val="en-US" w:eastAsia="zh-CN" w:bidi="ar"/>
              </w:rPr>
              <w:t>40%</w:t>
            </w:r>
            <w:r>
              <w:rPr>
                <w:rFonts w:hint="eastAsia" w:ascii="宋体" w:hAnsi="宋体" w:eastAsia="宋体" w:cs="宋体"/>
                <w:i w:val="0"/>
                <w:iCs w:val="0"/>
                <w:caps w:val="0"/>
                <w:color w:val="000000"/>
                <w:spacing w:val="0"/>
                <w:kern w:val="0"/>
                <w:sz w:val="22"/>
                <w:szCs w:val="22"/>
                <w:lang w:val="en-US" w:eastAsia="zh-CN" w:bidi="ar"/>
              </w:rPr>
              <w:t>以上的水量加价</w:t>
            </w:r>
            <w:r>
              <w:rPr>
                <w:rFonts w:hint="default" w:ascii="Times New Roman" w:hAnsi="Times New Roman" w:eastAsia="微软雅黑" w:cs="Times New Roman"/>
                <w:i w:val="0"/>
                <w:iCs w:val="0"/>
                <w:caps w:val="0"/>
                <w:color w:val="000000"/>
                <w:spacing w:val="0"/>
                <w:kern w:val="0"/>
                <w:sz w:val="22"/>
                <w:szCs w:val="22"/>
                <w:lang w:val="en-US" w:eastAsia="zh-CN" w:bidi="ar"/>
              </w:rPr>
              <w:t>100%</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br w:type="textWrapping"/>
            </w:r>
            <w:r>
              <w:rPr>
                <w:rFonts w:hint="default" w:ascii="Times New Roman" w:hAnsi="Times New Roman" w:eastAsia="微软雅黑" w:cs="Times New Roman"/>
                <w:i w:val="0"/>
                <w:iCs w:val="0"/>
                <w:caps w:val="0"/>
                <w:color w:val="000000"/>
                <w:spacing w:val="0"/>
                <w:kern w:val="0"/>
                <w:sz w:val="22"/>
                <w:szCs w:val="22"/>
                <w:lang w:val="en-US" w:eastAsia="zh-CN" w:bidi="ar"/>
              </w:rPr>
              <w:t>4.</w:t>
            </w:r>
            <w:r>
              <w:rPr>
                <w:rFonts w:hint="eastAsia" w:ascii="宋体" w:hAnsi="宋体" w:eastAsia="宋体" w:cs="宋体"/>
                <w:i w:val="0"/>
                <w:iCs w:val="0"/>
                <w:caps w:val="0"/>
                <w:color w:val="000000"/>
                <w:spacing w:val="0"/>
                <w:kern w:val="0"/>
                <w:sz w:val="22"/>
                <w:szCs w:val="22"/>
                <w:lang w:val="en-US" w:eastAsia="zh-CN" w:bidi="ar"/>
              </w:rPr>
              <w:t>对“两高一剩”（高耗能、高污染、产能严重过剩）等行业实行更高累进加价制度，凡经有关部门认定并公布的限制类、淘汰类企业，须在上述各分档加价幅度基础上增加</w:t>
            </w:r>
            <w:r>
              <w:rPr>
                <w:rFonts w:hint="default" w:ascii="Times New Roman" w:hAnsi="Times New Roman" w:eastAsia="微软雅黑" w:cs="Times New Roman"/>
                <w:i w:val="0"/>
                <w:iCs w:val="0"/>
                <w:caps w:val="0"/>
                <w:color w:val="000000"/>
                <w:spacing w:val="0"/>
                <w:kern w:val="0"/>
                <w:sz w:val="22"/>
                <w:szCs w:val="22"/>
                <w:lang w:val="en-US" w:eastAsia="zh-CN" w:bidi="ar"/>
              </w:rPr>
              <w:t>10%</w:t>
            </w:r>
            <w:r>
              <w:rPr>
                <w:rFonts w:hint="eastAsia" w:ascii="宋体" w:hAnsi="宋体" w:eastAsia="宋体" w:cs="宋体"/>
                <w:i w:val="0"/>
                <w:iCs w:val="0"/>
                <w:caps w:val="0"/>
                <w:color w:val="000000"/>
                <w:spacing w:val="0"/>
                <w:kern w:val="0"/>
                <w:sz w:val="22"/>
                <w:szCs w:val="22"/>
                <w:lang w:val="en-US" w:eastAsia="zh-CN" w:bidi="ar"/>
              </w:rPr>
              <w:t>，即各档加价标准分别为</w:t>
            </w:r>
            <w:r>
              <w:rPr>
                <w:rFonts w:hint="default" w:ascii="Times New Roman" w:hAnsi="Times New Roman" w:eastAsia="微软雅黑" w:cs="Times New Roman"/>
                <w:i w:val="0"/>
                <w:iCs w:val="0"/>
                <w:caps w:val="0"/>
                <w:color w:val="000000"/>
                <w:spacing w:val="0"/>
                <w:kern w:val="0"/>
                <w:sz w:val="22"/>
                <w:szCs w:val="22"/>
                <w:lang w:val="en-US" w:eastAsia="zh-CN" w:bidi="ar"/>
              </w:rPr>
              <w:t>35%</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t>60%</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t>110%</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br w:type="textWrapping"/>
            </w:r>
            <w:r>
              <w:rPr>
                <w:rFonts w:hint="eastAsia" w:ascii="宋体" w:hAnsi="宋体" w:eastAsia="宋体" w:cs="宋体"/>
                <w:i w:val="0"/>
                <w:iCs w:val="0"/>
                <w:caps w:val="0"/>
                <w:color w:val="000000"/>
                <w:spacing w:val="0"/>
                <w:kern w:val="0"/>
                <w:sz w:val="22"/>
                <w:szCs w:val="22"/>
                <w:lang w:val="en-US" w:eastAsia="zh-CN" w:bidi="ar"/>
              </w:rPr>
              <w:t>非居民用水超定额超计划累进加价的基价为城镇供水的非居民生活用水类、特种行业用水类基本水价（不包含污水处理费和各种附加）。</w:t>
            </w:r>
          </w:p>
        </w:tc>
        <w:tc>
          <w:tcPr>
            <w:tcW w:w="1289" w:type="dxa"/>
            <w:vAlign w:val="center"/>
          </w:tcPr>
          <w:p w14:paraId="5ADC7D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政府制定：景德镇市发展和改革委员会，景德镇市住房和城乡建设局，景德镇市水利局</w:t>
            </w:r>
          </w:p>
        </w:tc>
        <w:tc>
          <w:tcPr>
            <w:tcW w:w="1776" w:type="dxa"/>
            <w:vAlign w:val="center"/>
          </w:tcPr>
          <w:p w14:paraId="6BCA7A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景发改价格字﹝</w:t>
            </w:r>
            <w:r>
              <w:rPr>
                <w:rFonts w:hint="default" w:ascii="Times New Roman" w:hAnsi="Times New Roman" w:eastAsia="微软雅黑" w:cs="Times New Roman"/>
                <w:i w:val="0"/>
                <w:iCs w:val="0"/>
                <w:caps w:val="0"/>
                <w:color w:val="000000"/>
                <w:spacing w:val="0"/>
                <w:kern w:val="0"/>
                <w:sz w:val="22"/>
                <w:szCs w:val="22"/>
                <w:lang w:val="en-US" w:eastAsia="zh-CN" w:bidi="ar"/>
              </w:rPr>
              <w:t>2020</w:t>
            </w:r>
            <w:r>
              <w:rPr>
                <w:rFonts w:hint="eastAsia" w:ascii="宋体" w:hAnsi="宋体" w:eastAsia="宋体" w:cs="宋体"/>
                <w:i w:val="0"/>
                <w:iCs w:val="0"/>
                <w:caps w:val="0"/>
                <w:color w:val="000000"/>
                <w:spacing w:val="0"/>
                <w:kern w:val="0"/>
                <w:sz w:val="22"/>
                <w:szCs w:val="22"/>
                <w:lang w:val="en-US" w:eastAsia="zh-CN" w:bidi="ar"/>
              </w:rPr>
              <w:t>﹞</w:t>
            </w:r>
            <w:r>
              <w:rPr>
                <w:rFonts w:hint="default" w:ascii="Times New Roman" w:hAnsi="Times New Roman" w:eastAsia="微软雅黑" w:cs="Times New Roman"/>
                <w:i w:val="0"/>
                <w:iCs w:val="0"/>
                <w:caps w:val="0"/>
                <w:color w:val="000000"/>
                <w:spacing w:val="0"/>
                <w:kern w:val="0"/>
                <w:sz w:val="22"/>
                <w:szCs w:val="22"/>
                <w:lang w:val="en-US" w:eastAsia="zh-CN" w:bidi="ar"/>
              </w:rPr>
              <w:t>221</w:t>
            </w:r>
            <w:r>
              <w:rPr>
                <w:rFonts w:hint="eastAsia" w:ascii="宋体" w:hAnsi="宋体" w:eastAsia="宋体" w:cs="宋体"/>
                <w:i w:val="0"/>
                <w:iCs w:val="0"/>
                <w:caps w:val="0"/>
                <w:color w:val="000000"/>
                <w:spacing w:val="0"/>
                <w:kern w:val="0"/>
                <w:sz w:val="22"/>
                <w:szCs w:val="22"/>
                <w:lang w:val="en-US" w:eastAsia="zh-CN" w:bidi="ar"/>
              </w:rPr>
              <w:t>号</w:t>
            </w:r>
          </w:p>
        </w:tc>
        <w:tc>
          <w:tcPr>
            <w:tcW w:w="1289" w:type="dxa"/>
            <w:vAlign w:val="center"/>
          </w:tcPr>
          <w:p w14:paraId="13ED41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代收</w:t>
            </w:r>
          </w:p>
        </w:tc>
      </w:tr>
      <w:tr w14:paraId="7377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57271D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Fonts w:hint="eastAsia" w:ascii="宋体" w:hAnsi="宋体" w:eastAsia="宋体" w:cs="宋体"/>
                <w:i w:val="0"/>
                <w:iCs w:val="0"/>
                <w:caps w:val="0"/>
                <w:color w:val="000000"/>
                <w:spacing w:val="0"/>
                <w:kern w:val="0"/>
                <w:sz w:val="22"/>
                <w:szCs w:val="22"/>
                <w:lang w:val="en-US" w:eastAsia="zh-CN" w:bidi="ar"/>
              </w:rPr>
            </w:pPr>
            <w:r>
              <w:rPr>
                <w:rFonts w:hint="eastAsia" w:ascii="宋体" w:hAnsi="宋体" w:eastAsia="宋体" w:cs="宋体"/>
                <w:i w:val="0"/>
                <w:iCs w:val="0"/>
                <w:caps w:val="0"/>
                <w:color w:val="000000"/>
                <w:spacing w:val="0"/>
                <w:kern w:val="0"/>
                <w:sz w:val="22"/>
                <w:szCs w:val="22"/>
                <w:lang w:val="en-US" w:eastAsia="zh-CN" w:bidi="ar"/>
              </w:rPr>
              <w:t>5</w:t>
            </w:r>
          </w:p>
        </w:tc>
        <w:tc>
          <w:tcPr>
            <w:tcW w:w="1215" w:type="dxa"/>
            <w:vAlign w:val="center"/>
          </w:tcPr>
          <w:p w14:paraId="456A5B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江西省景德镇水务有限责任公司</w:t>
            </w:r>
          </w:p>
        </w:tc>
        <w:tc>
          <w:tcPr>
            <w:tcW w:w="1706" w:type="dxa"/>
            <w:vAlign w:val="center"/>
          </w:tcPr>
          <w:p w14:paraId="531F1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本级</w:t>
            </w:r>
          </w:p>
        </w:tc>
        <w:tc>
          <w:tcPr>
            <w:tcW w:w="1129" w:type="dxa"/>
            <w:vAlign w:val="center"/>
          </w:tcPr>
          <w:p w14:paraId="508237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企业</w:t>
            </w:r>
          </w:p>
        </w:tc>
        <w:tc>
          <w:tcPr>
            <w:tcW w:w="1110" w:type="dxa"/>
            <w:vAlign w:val="center"/>
          </w:tcPr>
          <w:p w14:paraId="75EC69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生活垃圾处理收费（代收）</w:t>
            </w:r>
          </w:p>
        </w:tc>
        <w:tc>
          <w:tcPr>
            <w:tcW w:w="1626" w:type="dxa"/>
            <w:vAlign w:val="center"/>
          </w:tcPr>
          <w:p w14:paraId="1C505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政府定价的经营服务收费</w:t>
            </w:r>
          </w:p>
        </w:tc>
        <w:tc>
          <w:tcPr>
            <w:tcW w:w="1289" w:type="dxa"/>
            <w:vAlign w:val="center"/>
          </w:tcPr>
          <w:p w14:paraId="338619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生活垃圾处理收费（代收）</w:t>
            </w:r>
          </w:p>
        </w:tc>
        <w:tc>
          <w:tcPr>
            <w:tcW w:w="1289" w:type="dxa"/>
            <w:vAlign w:val="center"/>
          </w:tcPr>
          <w:p w14:paraId="7A0A07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left"/>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居民生活垃圾处理费</w:t>
            </w:r>
            <w:r>
              <w:rPr>
                <w:rFonts w:hint="default" w:ascii="Times New Roman" w:hAnsi="Times New Roman" w:eastAsia="微软雅黑" w:cs="Times New Roman"/>
                <w:i w:val="0"/>
                <w:iCs w:val="0"/>
                <w:caps w:val="0"/>
                <w:color w:val="000000"/>
                <w:spacing w:val="0"/>
                <w:kern w:val="0"/>
                <w:sz w:val="22"/>
                <w:szCs w:val="22"/>
                <w:lang w:val="en-US" w:eastAsia="zh-CN" w:bidi="ar"/>
              </w:rPr>
              <w:t>4</w:t>
            </w:r>
            <w:r>
              <w:rPr>
                <w:rFonts w:hint="eastAsia" w:ascii="宋体" w:hAnsi="宋体" w:eastAsia="宋体" w:cs="宋体"/>
                <w:i w:val="0"/>
                <w:iCs w:val="0"/>
                <w:caps w:val="0"/>
                <w:color w:val="000000"/>
                <w:spacing w:val="0"/>
                <w:kern w:val="0"/>
                <w:sz w:val="22"/>
                <w:szCs w:val="22"/>
                <w:lang w:val="en-US" w:eastAsia="zh-CN" w:bidi="ar"/>
              </w:rPr>
              <w:t>元/月</w:t>
            </w:r>
            <w:bookmarkStart w:id="0" w:name="_GoBack"/>
            <w:r>
              <w:rPr>
                <w:rFonts w:hint="default" w:ascii="Times New Roman" w:hAnsi="Times New Roman" w:eastAsia="微软雅黑" w:cs="Times New Roman"/>
                <w:i w:val="0"/>
                <w:iCs w:val="0"/>
                <w:caps w:val="0"/>
                <w:color w:val="000000"/>
                <w:spacing w:val="0"/>
                <w:kern w:val="0"/>
                <w:sz w:val="22"/>
                <w:szCs w:val="22"/>
                <w:lang w:val="en-US" w:eastAsia="zh-CN" w:bidi="ar"/>
              </w:rPr>
              <w:t>·</w:t>
            </w:r>
            <w:bookmarkEnd w:id="0"/>
            <w:r>
              <w:rPr>
                <w:rFonts w:hint="eastAsia" w:ascii="宋体" w:hAnsi="宋体" w:eastAsia="宋体" w:cs="宋体"/>
                <w:i w:val="0"/>
                <w:iCs w:val="0"/>
                <w:caps w:val="0"/>
                <w:color w:val="000000"/>
                <w:spacing w:val="0"/>
                <w:kern w:val="0"/>
                <w:sz w:val="22"/>
                <w:szCs w:val="22"/>
                <w:lang w:val="en-US" w:eastAsia="zh-CN" w:bidi="ar"/>
              </w:rPr>
              <w:t>户。</w:t>
            </w:r>
          </w:p>
        </w:tc>
        <w:tc>
          <w:tcPr>
            <w:tcW w:w="1289" w:type="dxa"/>
            <w:vAlign w:val="center"/>
          </w:tcPr>
          <w:p w14:paraId="428AD2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政府制定：景德镇市物价局</w:t>
            </w:r>
          </w:p>
        </w:tc>
        <w:tc>
          <w:tcPr>
            <w:tcW w:w="1776" w:type="dxa"/>
            <w:vAlign w:val="center"/>
          </w:tcPr>
          <w:p w14:paraId="3CA85C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景价费字﹝2007﹞34号文件</w:t>
            </w:r>
          </w:p>
        </w:tc>
        <w:tc>
          <w:tcPr>
            <w:tcW w:w="1289" w:type="dxa"/>
            <w:vAlign w:val="center"/>
          </w:tcPr>
          <w:p w14:paraId="46AB24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leftChars="0" w:right="0" w:rightChars="0"/>
              <w:jc w:val="center"/>
              <w:textAlignment w:val="center"/>
              <w:rPr>
                <w:rStyle w:val="5"/>
                <w:rFonts w:ascii="微软雅黑" w:hAnsi="微软雅黑" w:eastAsia="微软雅黑" w:cs="微软雅黑"/>
                <w:i w:val="0"/>
                <w:iCs w:val="0"/>
                <w:caps w:val="0"/>
                <w:color w:val="000000"/>
                <w:spacing w:val="0"/>
                <w:sz w:val="44"/>
                <w:szCs w:val="44"/>
                <w:shd w:val="clear" w:fill="FFFFFF"/>
                <w:vertAlign w:val="baseline"/>
              </w:rPr>
            </w:pPr>
            <w:r>
              <w:rPr>
                <w:rFonts w:hint="eastAsia" w:ascii="宋体" w:hAnsi="宋体" w:eastAsia="宋体" w:cs="宋体"/>
                <w:i w:val="0"/>
                <w:iCs w:val="0"/>
                <w:caps w:val="0"/>
                <w:color w:val="000000"/>
                <w:spacing w:val="0"/>
                <w:kern w:val="0"/>
                <w:sz w:val="22"/>
                <w:szCs w:val="22"/>
                <w:lang w:val="en-US" w:eastAsia="zh-CN" w:bidi="ar"/>
              </w:rPr>
              <w:t>代收</w:t>
            </w:r>
          </w:p>
        </w:tc>
      </w:tr>
    </w:tbl>
    <w:p w14:paraId="2DBF00F9">
      <w:pPr>
        <w:jc w:val="center"/>
        <w:rPr>
          <w:rStyle w:val="5"/>
          <w:rFonts w:ascii="微软雅黑" w:hAnsi="微软雅黑" w:eastAsia="微软雅黑" w:cs="微软雅黑"/>
          <w:i w:val="0"/>
          <w:iCs w:val="0"/>
          <w:caps w:val="0"/>
          <w:color w:val="000000"/>
          <w:spacing w:val="0"/>
          <w:sz w:val="45"/>
          <w:szCs w:val="45"/>
          <w:shd w:val="clear" w:fill="FFFFFF"/>
        </w:rPr>
      </w:pPr>
    </w:p>
    <w:sectPr>
      <w:pgSz w:w="16838" w:h="11906" w:orient="landscape"/>
      <w:pgMar w:top="1179" w:right="1157" w:bottom="1179" w:left="115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5032DD"/>
    <w:rsid w:val="1B5238E3"/>
    <w:rsid w:val="315032DD"/>
    <w:rsid w:val="663A17E5"/>
    <w:rsid w:val="66F552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Emphasis"/>
    <w:basedOn w:val="4"/>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40c6dc90-369a-4209-adda-5471cf5e624a</errorID>
      <errorWord>江西省景德镇水务公司</errorWord>
      <group>L1_Other</group>
      <groupName>其他问题</groupName>
      <ability>L2_Consistency</ability>
      <abilityName>一致性检查</abilityName>
      <candidateList>
        <item>江西省景德镇水务有限责任公司</item>
      </candidateList>
      <explain>实体一致性：收费单位名称前后表述不一致，应统一为完整规范名称</explain>
      <paraID>5497D6E8</paraID>
      <start>9</start>
      <end>23</end>
      <status>modified</status>
      <modifiedWord>江西省景德镇水务有限责任公司</modifiedWord>
      <trackRevisions>false</trackRevisions>
    </reviewItem>
    <reviewItem>
      <errorID>2fbc8d36-d42a-489b-aff2-c2737423c788</errorID>
      <errorWord>行政事业性收费</errorWord>
      <group>L1_Other</group>
      <groupName>其他问题</groupName>
      <ability>L2_Consistency</ability>
      <abilityName>一致性检查</abilityName>
      <candidateList>
        <item>政府定价的经营服务收费</item>
      </candidateList>
      <explain>术语一致性：收费性质表述前后不统一，应与其他同类收费的性质表述保持一致</explain>
      <paraID>1C9E866D</paraID>
      <start>0</start>
      <end>7</end>
      <status>ignored</status>
      <modifiedWord/>
      <trackRevisions>false</trackRevisions>
    </reviewItem>
    <reviewItem>
      <errorID>e60fadc4-723f-4904-9afb-65c41ea6ebf6</errorID>
      <errorWord> </errorWord>
      <group>L1_Punc</group>
      <groupName>标点问题</groupName>
      <ability>L2_Punc_CN</ability>
      <abilityName>标点符号问题</abilityName>
      <candidateList>
        <item>·</item>
      </candidateList>
      <explain/>
      <paraID>7A0A0769</paraID>
      <start>13</start>
      <end>14</end>
      <status>ignored</status>
      <modifiedWord/>
      <trackRevisions>false</trackRevisions>
    </reviewItem>
  </reviewItems>
  <config/>
</contractReview>
</file>

<file path=customXml/itemProps1.xml><?xml version="1.0" encoding="utf-8"?>
<ds:datastoreItem xmlns:ds="http://schemas.openxmlformats.org/officeDocument/2006/customXml" ds:itemID="{c5161fef-0e29-4c99-8a1d-e7a34979aae7}">
  <ds:schemaRefs/>
</ds:datastoreItem>
</file>

<file path=docProps/app.xml><?xml version="1.0" encoding="utf-8"?>
<Properties xmlns="http://schemas.openxmlformats.org/officeDocument/2006/extended-properties" xmlns:vt="http://schemas.openxmlformats.org/officeDocument/2006/docPropsVTypes">
  <Template>Normal.dotm</Template>
  <Pages>9</Pages>
  <Words>1183</Words>
  <Characters>1283</Characters>
  <Lines>0</Lines>
  <Paragraphs>0</Paragraphs>
  <TotalTime>4</TotalTime>
  <ScaleCrop>false</ScaleCrop>
  <LinksUpToDate>false</LinksUpToDate>
  <CharactersWithSpaces>1283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2026-10-21T09:08:00Z</dcterms:created>
  <dc:creator>吴煜</dc:creator>
  <cp:lastModifiedBy>留不住的流年</cp:lastModifiedBy>
  <dcterms:modified xsi:type="dcterms:W3CDTF">2026-10-23T02:12:43Z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C78CF3766ABE403FA9A0BBDC4DF8325C_11</vt:lpwstr>
  </property>
  <property fmtid="{D5CDD505-2E9C-101B-9397-08002B2CF9AE}" pid="4" name="KSOTemplateDocerSaveRecord">
    <vt:lpwstr>eyJoZGlkIjoiMDA4OTIwM2UyNjllNDIyN2E4NDgyZDUwM2RmMzcxYjUiLCJ1c2VySWQiOiIzOTI5MTEwMTUifQ==</vt:lpwstr>
  </property>
</Properties>
</file>